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ract_MetaData"/>
      </w:tblPr>
      <w:tblGrid>
        <w:gridCol w:w="7371"/>
      </w:tblGrid>
      <w:tr w:rsidR="00EF5798" w:rsidRPr="006B6D0D" w14:paraId="6E7F7041" w14:textId="77777777" w:rsidTr="002D7A75">
        <w:tc>
          <w:tcPr>
            <w:tcW w:w="7371" w:type="dxa"/>
            <w:vAlign w:val="bottom"/>
          </w:tcPr>
          <w:p w14:paraId="01E5F89E" w14:textId="078F5285" w:rsidR="00EF5798" w:rsidRPr="00C50D8B" w:rsidRDefault="00EF5798" w:rsidP="002D7A75">
            <w:pPr>
              <w:pStyle w:val="DSBoldCapitals"/>
            </w:pPr>
            <w:bookmarkStart w:id="0" w:name="bmConfidentiality" w:colFirst="0" w:colLast="0"/>
            <w:r>
              <w:t>24</w:t>
            </w:r>
            <w:r>
              <w:t xml:space="preserve">. </w:t>
            </w:r>
            <w:r>
              <w:t>november</w:t>
            </w:r>
            <w:r>
              <w:t xml:space="preserve"> 2022</w:t>
            </w:r>
          </w:p>
        </w:tc>
      </w:tr>
      <w:tr w:rsidR="00EF5798" w:rsidRPr="006B6D0D" w14:paraId="39A65A54" w14:textId="77777777" w:rsidTr="002D7A75">
        <w:trPr>
          <w:trHeight w:val="2245"/>
        </w:trPr>
        <w:tc>
          <w:tcPr>
            <w:tcW w:w="7371" w:type="dxa"/>
            <w:vAlign w:val="bottom"/>
          </w:tcPr>
          <w:p w14:paraId="2A0269EC" w14:textId="77777777" w:rsidR="00EF5798" w:rsidRPr="006B6D0D" w:rsidRDefault="00EF5798" w:rsidP="002D7A75">
            <w:pPr>
              <w:pStyle w:val="DSDocumentTitle"/>
            </w:pPr>
            <w:bookmarkStart w:id="1" w:name="bmDocumenttitle" w:colFirst="0" w:colLast="0"/>
            <w:bookmarkEnd w:id="0"/>
            <w:r>
              <w:t>Tillæg til Nettil</w:t>
            </w:r>
            <w:bookmarkStart w:id="2" w:name="OpenAt"/>
            <w:bookmarkEnd w:id="2"/>
            <w:r>
              <w:t>slutningsaftale for kategori B-, C- og D- produktionsanlæg</w:t>
            </w:r>
          </w:p>
        </w:tc>
      </w:tr>
      <w:tr w:rsidR="00EF5798" w:rsidRPr="006B6D0D" w14:paraId="70385A92" w14:textId="77777777" w:rsidTr="002D7A75">
        <w:trPr>
          <w:trHeight w:val="527"/>
        </w:trPr>
        <w:tc>
          <w:tcPr>
            <w:tcW w:w="7371" w:type="dxa"/>
          </w:tcPr>
          <w:p w14:paraId="3DE408F4" w14:textId="77777777" w:rsidR="00EF5798" w:rsidRPr="00DA0ADA" w:rsidRDefault="00EF5798" w:rsidP="002D7A75">
            <w:pPr>
              <w:pStyle w:val="DSBoldCapitals"/>
            </w:pPr>
            <w:bookmarkStart w:id="3" w:name="bmSubject" w:colFirst="0" w:colLast="0"/>
            <w:bookmarkEnd w:id="1"/>
          </w:p>
        </w:tc>
      </w:tr>
      <w:bookmarkEnd w:id="3"/>
    </w:tbl>
    <w:p w14:paraId="3CF77C64" w14:textId="77777777" w:rsidR="00EF5798" w:rsidRPr="006B6D0D" w:rsidRDefault="00EF5798" w:rsidP="00EF5798">
      <w:pPr>
        <w:rPr>
          <w:rFonts w:eastAsia="Calibri"/>
        </w:rPr>
      </w:pPr>
    </w:p>
    <w:p w14:paraId="7D6BCAC9" w14:textId="77777777" w:rsidR="00EF5798" w:rsidRDefault="00EF5798" w:rsidP="00EF5798">
      <w:pPr>
        <w:rPr>
          <w:rFonts w:eastAsia="Calibri"/>
        </w:rPr>
      </w:pPr>
    </w:p>
    <w:p w14:paraId="2B4F85A5" w14:textId="77777777" w:rsidR="00EF5798" w:rsidRPr="006B6D0D" w:rsidRDefault="00EF5798" w:rsidP="00EF5798">
      <w:pPr>
        <w:rPr>
          <w:rFonts w:eastAsia="Calibri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4536"/>
      </w:tblGrid>
      <w:tr w:rsidR="00EF5798" w:rsidRPr="006B6D0D" w14:paraId="2285007C" w14:textId="77777777" w:rsidTr="002D7A75">
        <w:trPr>
          <w:trHeight w:val="236"/>
        </w:trPr>
        <w:tc>
          <w:tcPr>
            <w:tcW w:w="1134" w:type="dxa"/>
            <w:vMerge w:val="restart"/>
          </w:tcPr>
          <w:p w14:paraId="24C6D1E7" w14:textId="77777777" w:rsidR="00EF5798" w:rsidRPr="006B6D0D" w:rsidRDefault="00EF5798" w:rsidP="002D7A75">
            <w:pPr>
              <w:rPr>
                <w:rFonts w:eastAsia="Calibri"/>
              </w:rPr>
            </w:pPr>
            <w:bookmarkStart w:id="4" w:name="bmStart"/>
            <w:bookmarkStart w:id="5" w:name="bmTo" w:colFirst="1" w:colLast="1"/>
            <w:bookmarkEnd w:id="4"/>
            <w:r>
              <w:rPr>
                <w:rFonts w:eastAsia="Calibri"/>
              </w:rPr>
              <w:t>mellem</w:t>
            </w:r>
          </w:p>
        </w:tc>
        <w:tc>
          <w:tcPr>
            <w:tcW w:w="1701" w:type="dxa"/>
          </w:tcPr>
          <w:p w14:paraId="7A6F3EEA" w14:textId="77777777" w:rsidR="00EF5798" w:rsidRPr="00E24E1C" w:rsidRDefault="00EF5798" w:rsidP="002D7A75">
            <w:pPr>
              <w:rPr>
                <w:rFonts w:eastAsia="Calibri"/>
              </w:rPr>
            </w:pPr>
            <w:r w:rsidRPr="00E24E1C">
              <w:rPr>
                <w:rFonts w:eastAsia="Calibri"/>
              </w:rPr>
              <w:t>Navn</w:t>
            </w:r>
          </w:p>
        </w:tc>
        <w:tc>
          <w:tcPr>
            <w:tcW w:w="4536" w:type="dxa"/>
          </w:tcPr>
          <w:p w14:paraId="18CD9976" w14:textId="77777777" w:rsidR="00EF5798" w:rsidRPr="002B1B9C" w:rsidRDefault="00EF5798" w:rsidP="002D7A75">
            <w:pPr>
              <w:pStyle w:val="DSBoldCapitals"/>
              <w:rPr>
                <w:b w:val="0"/>
                <w:bCs/>
              </w:rPr>
            </w:pPr>
            <w:r w:rsidRPr="002B1B9C">
              <w:rPr>
                <w:b w:val="0"/>
                <w:bCs/>
              </w:rPr>
              <w:t>[ * ]</w:t>
            </w:r>
          </w:p>
        </w:tc>
      </w:tr>
      <w:tr w:rsidR="00EF5798" w:rsidRPr="006B6D0D" w14:paraId="4E0D48B5" w14:textId="77777777" w:rsidTr="002D7A75">
        <w:trPr>
          <w:trHeight w:val="236"/>
        </w:trPr>
        <w:tc>
          <w:tcPr>
            <w:tcW w:w="1134" w:type="dxa"/>
            <w:vMerge/>
          </w:tcPr>
          <w:p w14:paraId="63706CDC" w14:textId="77777777" w:rsidR="00EF5798" w:rsidRDefault="00EF5798" w:rsidP="002D7A7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6B0D2FA0" w14:textId="77777777" w:rsidR="00EF5798" w:rsidRPr="00E24E1C" w:rsidRDefault="00EF5798" w:rsidP="002D7A75">
            <w:pPr>
              <w:rPr>
                <w:rFonts w:eastAsia="Calibri"/>
              </w:rPr>
            </w:pPr>
            <w:r w:rsidRPr="00E24E1C">
              <w:rPr>
                <w:rFonts w:eastAsia="Calibri"/>
              </w:rPr>
              <w:t>Adresse</w:t>
            </w:r>
          </w:p>
        </w:tc>
        <w:tc>
          <w:tcPr>
            <w:tcW w:w="4536" w:type="dxa"/>
          </w:tcPr>
          <w:p w14:paraId="73E9090E" w14:textId="77777777" w:rsidR="00EF5798" w:rsidRPr="006B6D0D" w:rsidRDefault="00EF5798" w:rsidP="002D7A75">
            <w:pPr>
              <w:pStyle w:val="DSBoldCapitals"/>
            </w:pPr>
            <w:r w:rsidRPr="002B1B9C">
              <w:rPr>
                <w:b w:val="0"/>
                <w:bCs/>
              </w:rPr>
              <w:t>[ * ]</w:t>
            </w:r>
          </w:p>
        </w:tc>
      </w:tr>
      <w:tr w:rsidR="00EF5798" w:rsidRPr="006B6D0D" w14:paraId="26CDD4C9" w14:textId="77777777" w:rsidTr="002D7A75">
        <w:trPr>
          <w:trHeight w:val="236"/>
        </w:trPr>
        <w:tc>
          <w:tcPr>
            <w:tcW w:w="1134" w:type="dxa"/>
            <w:vMerge/>
          </w:tcPr>
          <w:p w14:paraId="6EAB33DF" w14:textId="77777777" w:rsidR="00EF5798" w:rsidRDefault="00EF5798" w:rsidP="002D7A7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38F1F656" w14:textId="77777777" w:rsidR="00EF5798" w:rsidRPr="00E24E1C" w:rsidRDefault="00EF5798" w:rsidP="002D7A75">
            <w:pPr>
              <w:rPr>
                <w:rFonts w:eastAsia="Calibri"/>
              </w:rPr>
            </w:pPr>
            <w:proofErr w:type="gramStart"/>
            <w:r w:rsidRPr="00E24E1C">
              <w:rPr>
                <w:rFonts w:eastAsia="Calibri"/>
              </w:rPr>
              <w:t>CVR/CPR nummer</w:t>
            </w:r>
            <w:proofErr w:type="gramEnd"/>
          </w:p>
        </w:tc>
        <w:tc>
          <w:tcPr>
            <w:tcW w:w="4536" w:type="dxa"/>
          </w:tcPr>
          <w:p w14:paraId="358412B1" w14:textId="77777777" w:rsidR="00EF5798" w:rsidRPr="006B6D0D" w:rsidRDefault="00EF5798" w:rsidP="002D7A75">
            <w:pPr>
              <w:pStyle w:val="DSBoldCapitals"/>
            </w:pPr>
            <w:r w:rsidRPr="002B1B9C">
              <w:rPr>
                <w:b w:val="0"/>
                <w:bCs/>
              </w:rPr>
              <w:t>[ * ]</w:t>
            </w:r>
          </w:p>
        </w:tc>
      </w:tr>
      <w:tr w:rsidR="00EF5798" w:rsidRPr="006B6D0D" w14:paraId="7D152DFF" w14:textId="77777777" w:rsidTr="002D7A75">
        <w:trPr>
          <w:trHeight w:val="236"/>
        </w:trPr>
        <w:tc>
          <w:tcPr>
            <w:tcW w:w="1134" w:type="dxa"/>
            <w:vMerge/>
          </w:tcPr>
          <w:p w14:paraId="4168FD9C" w14:textId="77777777" w:rsidR="00EF5798" w:rsidRDefault="00EF5798" w:rsidP="002D7A7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73D6144C" w14:textId="77777777" w:rsidR="00EF5798" w:rsidRPr="00E24E1C" w:rsidRDefault="00EF5798" w:rsidP="002D7A75">
            <w:pPr>
              <w:rPr>
                <w:rFonts w:eastAsia="Calibri"/>
              </w:rPr>
            </w:pPr>
          </w:p>
        </w:tc>
        <w:tc>
          <w:tcPr>
            <w:tcW w:w="4536" w:type="dxa"/>
          </w:tcPr>
          <w:p w14:paraId="76D5A483" w14:textId="77777777" w:rsidR="00EF5798" w:rsidRPr="006B6D0D" w:rsidRDefault="00EF5798" w:rsidP="002D7A75">
            <w:pPr>
              <w:pStyle w:val="DSBoldCapitals"/>
            </w:pPr>
          </w:p>
        </w:tc>
      </w:tr>
      <w:tr w:rsidR="00EF5798" w:rsidRPr="006B6D0D" w14:paraId="4B37953D" w14:textId="77777777" w:rsidTr="002D7A75">
        <w:trPr>
          <w:trHeight w:val="236"/>
        </w:trPr>
        <w:tc>
          <w:tcPr>
            <w:tcW w:w="1134" w:type="dxa"/>
            <w:vMerge/>
          </w:tcPr>
          <w:p w14:paraId="30928BF2" w14:textId="77777777" w:rsidR="00EF5798" w:rsidRPr="006B6D0D" w:rsidRDefault="00EF5798" w:rsidP="002D7A75">
            <w:pPr>
              <w:rPr>
                <w:rFonts w:eastAsia="Calibri"/>
              </w:rPr>
            </w:pPr>
            <w:bookmarkStart w:id="6" w:name="bmAs" w:colFirst="1" w:colLast="1"/>
            <w:bookmarkEnd w:id="5"/>
          </w:p>
        </w:tc>
        <w:tc>
          <w:tcPr>
            <w:tcW w:w="6237" w:type="dxa"/>
            <w:gridSpan w:val="2"/>
          </w:tcPr>
          <w:p w14:paraId="010F8395" w14:textId="77777777" w:rsidR="00EF5798" w:rsidRPr="00E24E1C" w:rsidRDefault="00EF5798" w:rsidP="002D7A75">
            <w:pPr>
              <w:rPr>
                <w:rFonts w:eastAsia="Calibri"/>
              </w:rPr>
            </w:pPr>
            <w:r w:rsidRPr="00E24E1C">
              <w:rPr>
                <w:rFonts w:eastAsia="Calibri"/>
              </w:rPr>
              <w:t>herefter "</w:t>
            </w:r>
            <w:r>
              <w:rPr>
                <w:rFonts w:eastAsia="Calibri"/>
                <w:b/>
                <w:bCs/>
              </w:rPr>
              <w:t>Anlægsejer</w:t>
            </w:r>
            <w:r w:rsidRPr="00E24E1C">
              <w:rPr>
                <w:rFonts w:eastAsia="Calibri"/>
              </w:rPr>
              <w:t>"</w:t>
            </w:r>
          </w:p>
        </w:tc>
      </w:tr>
      <w:bookmarkEnd w:id="6"/>
      <w:tr w:rsidR="00EF5798" w:rsidRPr="00510A46" w14:paraId="25620F7F" w14:textId="77777777" w:rsidTr="002D7A75">
        <w:trPr>
          <w:trHeight w:val="236"/>
        </w:trPr>
        <w:tc>
          <w:tcPr>
            <w:tcW w:w="1134" w:type="dxa"/>
            <w:vMerge/>
          </w:tcPr>
          <w:p w14:paraId="2E652226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78DBDAB3" w14:textId="77777777" w:rsidR="00EF5798" w:rsidRPr="00510A46" w:rsidRDefault="00EF5798" w:rsidP="002D7A75">
            <w:pPr>
              <w:pStyle w:val="DSBoldCapitals"/>
              <w:rPr>
                <w:b w:val="0"/>
              </w:rPr>
            </w:pPr>
          </w:p>
        </w:tc>
      </w:tr>
      <w:tr w:rsidR="00EF5798" w:rsidRPr="006B6D0D" w14:paraId="7CA55987" w14:textId="77777777" w:rsidTr="002D7A75">
        <w:trPr>
          <w:trHeight w:hRule="exact" w:val="1"/>
        </w:trPr>
        <w:tc>
          <w:tcPr>
            <w:tcW w:w="1134" w:type="dxa"/>
          </w:tcPr>
          <w:p w14:paraId="3DF94863" w14:textId="77777777" w:rsidR="00EF5798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1F5AE239" w14:textId="77777777" w:rsidR="00EF5798" w:rsidRPr="006B6D0D" w:rsidRDefault="00EF5798" w:rsidP="002D7A75">
            <w:pPr>
              <w:pStyle w:val="DSBoldCapitals"/>
            </w:pPr>
          </w:p>
        </w:tc>
      </w:tr>
      <w:tr w:rsidR="00EF5798" w:rsidRPr="006B6D0D" w14:paraId="1067503F" w14:textId="77777777" w:rsidTr="002D7A75">
        <w:trPr>
          <w:trHeight w:hRule="exact" w:val="1"/>
        </w:trPr>
        <w:tc>
          <w:tcPr>
            <w:tcW w:w="1134" w:type="dxa"/>
          </w:tcPr>
          <w:p w14:paraId="6E68926A" w14:textId="77777777" w:rsidR="00EF5798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3CC5EECF" w14:textId="77777777" w:rsidR="00EF5798" w:rsidRPr="006B6D0D" w:rsidRDefault="00EF5798" w:rsidP="002D7A75">
            <w:pPr>
              <w:pStyle w:val="DSBoldCapitals"/>
            </w:pPr>
          </w:p>
        </w:tc>
      </w:tr>
      <w:tr w:rsidR="00EF5798" w:rsidRPr="006B6D0D" w14:paraId="1ECBA7D2" w14:textId="77777777" w:rsidTr="002D7A75">
        <w:trPr>
          <w:trHeight w:hRule="exact" w:val="1"/>
        </w:trPr>
        <w:tc>
          <w:tcPr>
            <w:tcW w:w="1134" w:type="dxa"/>
          </w:tcPr>
          <w:p w14:paraId="667E3A94" w14:textId="77777777" w:rsidR="00EF5798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139A3ABA" w14:textId="77777777" w:rsidR="00EF5798" w:rsidRPr="006B6D0D" w:rsidRDefault="00EF5798" w:rsidP="002D7A75">
            <w:pPr>
              <w:pStyle w:val="DSBoldCapitals"/>
            </w:pPr>
          </w:p>
        </w:tc>
      </w:tr>
      <w:tr w:rsidR="00EF5798" w:rsidRPr="006B6D0D" w14:paraId="1C046C57" w14:textId="77777777" w:rsidTr="002D7A75">
        <w:trPr>
          <w:trHeight w:hRule="exact" w:val="1"/>
        </w:trPr>
        <w:tc>
          <w:tcPr>
            <w:tcW w:w="1134" w:type="dxa"/>
          </w:tcPr>
          <w:p w14:paraId="05F1EA40" w14:textId="77777777" w:rsidR="00EF5798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2CB44D40" w14:textId="77777777" w:rsidR="00EF5798" w:rsidRPr="006B6D0D" w:rsidRDefault="00EF5798" w:rsidP="002D7A75">
            <w:pPr>
              <w:pStyle w:val="DSBoldCapitals"/>
            </w:pPr>
          </w:p>
        </w:tc>
      </w:tr>
      <w:tr w:rsidR="00EF5798" w:rsidRPr="006B6D0D" w14:paraId="3D0BAC35" w14:textId="77777777" w:rsidTr="002D7A75">
        <w:trPr>
          <w:trHeight w:hRule="exact" w:val="1"/>
        </w:trPr>
        <w:tc>
          <w:tcPr>
            <w:tcW w:w="1134" w:type="dxa"/>
            <w:vMerge w:val="restart"/>
          </w:tcPr>
          <w:p w14:paraId="70BD0225" w14:textId="77777777" w:rsidR="00EF5798" w:rsidRPr="006B6D0D" w:rsidRDefault="00EF5798" w:rsidP="002D7A75">
            <w:pPr>
              <w:rPr>
                <w:rFonts w:eastAsia="Calibri"/>
              </w:rPr>
            </w:pPr>
            <w:bookmarkStart w:id="7" w:name="bmCarbonCopies" w:colFirst="1" w:colLast="1"/>
            <w:r>
              <w:rPr>
                <w:rFonts w:eastAsia="Calibri"/>
              </w:rPr>
              <w:t>og</w:t>
            </w:r>
          </w:p>
        </w:tc>
        <w:tc>
          <w:tcPr>
            <w:tcW w:w="6237" w:type="dxa"/>
            <w:gridSpan w:val="2"/>
          </w:tcPr>
          <w:p w14:paraId="1E083CA8" w14:textId="77777777" w:rsidR="00EF5798" w:rsidRPr="006B6D0D" w:rsidRDefault="00EF5798" w:rsidP="002D7A75">
            <w:pPr>
              <w:pStyle w:val="DSBoldCapitals"/>
            </w:pPr>
          </w:p>
        </w:tc>
      </w:tr>
      <w:tr w:rsidR="00EF5798" w:rsidRPr="006B6D0D" w14:paraId="1001155C" w14:textId="77777777" w:rsidTr="002D7A75">
        <w:trPr>
          <w:trHeight w:val="260"/>
        </w:trPr>
        <w:tc>
          <w:tcPr>
            <w:tcW w:w="1134" w:type="dxa"/>
            <w:vMerge/>
          </w:tcPr>
          <w:p w14:paraId="03DA496B" w14:textId="77777777" w:rsidR="00EF5798" w:rsidRPr="006B6D0D" w:rsidRDefault="00EF5798" w:rsidP="002D7A75">
            <w:pPr>
              <w:rPr>
                <w:rFonts w:eastAsia="Calibri"/>
              </w:rPr>
            </w:pPr>
            <w:bookmarkStart w:id="8" w:name="bmAs1" w:colFirst="1" w:colLast="1"/>
            <w:bookmarkEnd w:id="7"/>
          </w:p>
        </w:tc>
        <w:tc>
          <w:tcPr>
            <w:tcW w:w="1701" w:type="dxa"/>
          </w:tcPr>
          <w:p w14:paraId="683F5161" w14:textId="77777777" w:rsidR="00EF5798" w:rsidRPr="00E24E1C" w:rsidRDefault="00EF5798" w:rsidP="002D7A75">
            <w:pPr>
              <w:rPr>
                <w:rFonts w:eastAsia="Calibri"/>
              </w:rPr>
            </w:pPr>
            <w:r w:rsidRPr="00E24E1C">
              <w:rPr>
                <w:rFonts w:eastAsia="Calibri"/>
              </w:rPr>
              <w:t>Navn</w:t>
            </w:r>
          </w:p>
        </w:tc>
        <w:tc>
          <w:tcPr>
            <w:tcW w:w="4536" w:type="dxa"/>
          </w:tcPr>
          <w:p w14:paraId="6021E954" w14:textId="77777777" w:rsidR="00EF5798" w:rsidRPr="00370AD5" w:rsidRDefault="00EF5798" w:rsidP="002D7A75">
            <w:pPr>
              <w:rPr>
                <w:rFonts w:eastAsia="Calibri"/>
              </w:rPr>
            </w:pPr>
            <w:r w:rsidRPr="00370AD5">
              <w:t>[ * ]</w:t>
            </w:r>
          </w:p>
        </w:tc>
      </w:tr>
      <w:tr w:rsidR="00EF5798" w:rsidRPr="006B6D0D" w14:paraId="01AE5AFF" w14:textId="77777777" w:rsidTr="002D7A75">
        <w:trPr>
          <w:trHeight w:val="260"/>
        </w:trPr>
        <w:tc>
          <w:tcPr>
            <w:tcW w:w="1134" w:type="dxa"/>
            <w:vMerge/>
          </w:tcPr>
          <w:p w14:paraId="149D15BC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69578052" w14:textId="77777777" w:rsidR="00EF5798" w:rsidRPr="00E24E1C" w:rsidRDefault="00EF5798" w:rsidP="002D7A75">
            <w:pPr>
              <w:rPr>
                <w:rFonts w:eastAsia="Calibri"/>
              </w:rPr>
            </w:pPr>
            <w:r w:rsidRPr="00E24E1C">
              <w:rPr>
                <w:rFonts w:eastAsia="Calibri"/>
              </w:rPr>
              <w:t>Adresse</w:t>
            </w:r>
          </w:p>
        </w:tc>
        <w:tc>
          <w:tcPr>
            <w:tcW w:w="4536" w:type="dxa"/>
          </w:tcPr>
          <w:p w14:paraId="5CE2BE60" w14:textId="77777777" w:rsidR="00EF5798" w:rsidRPr="00370AD5" w:rsidRDefault="00EF5798" w:rsidP="002D7A75">
            <w:pPr>
              <w:rPr>
                <w:rFonts w:eastAsia="Calibri"/>
              </w:rPr>
            </w:pPr>
            <w:r w:rsidRPr="00370AD5">
              <w:t>[ * ]</w:t>
            </w:r>
          </w:p>
        </w:tc>
      </w:tr>
      <w:tr w:rsidR="00EF5798" w:rsidRPr="006B6D0D" w14:paraId="5DD372F3" w14:textId="77777777" w:rsidTr="002D7A75">
        <w:trPr>
          <w:trHeight w:val="260"/>
        </w:trPr>
        <w:tc>
          <w:tcPr>
            <w:tcW w:w="1134" w:type="dxa"/>
            <w:vMerge/>
          </w:tcPr>
          <w:p w14:paraId="18E58E41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398F0E23" w14:textId="77777777" w:rsidR="00EF5798" w:rsidRPr="00E24E1C" w:rsidRDefault="00EF5798" w:rsidP="002D7A75">
            <w:pPr>
              <w:rPr>
                <w:rFonts w:eastAsia="Calibri"/>
              </w:rPr>
            </w:pPr>
            <w:proofErr w:type="gramStart"/>
            <w:r w:rsidRPr="00E24E1C">
              <w:rPr>
                <w:rFonts w:eastAsia="Calibri"/>
              </w:rPr>
              <w:t>CVR nummer</w:t>
            </w:r>
            <w:proofErr w:type="gramEnd"/>
          </w:p>
        </w:tc>
        <w:tc>
          <w:tcPr>
            <w:tcW w:w="4536" w:type="dxa"/>
          </w:tcPr>
          <w:p w14:paraId="401E19E0" w14:textId="77777777" w:rsidR="00EF5798" w:rsidRPr="00370AD5" w:rsidRDefault="00EF5798" w:rsidP="002D7A75">
            <w:pPr>
              <w:rPr>
                <w:rFonts w:eastAsia="Calibri"/>
              </w:rPr>
            </w:pPr>
            <w:r w:rsidRPr="00370AD5">
              <w:t>[ * ]</w:t>
            </w:r>
          </w:p>
        </w:tc>
      </w:tr>
      <w:tr w:rsidR="00EF5798" w:rsidRPr="006B6D0D" w14:paraId="610B40C8" w14:textId="77777777" w:rsidTr="002D7A75">
        <w:trPr>
          <w:trHeight w:val="236"/>
        </w:trPr>
        <w:tc>
          <w:tcPr>
            <w:tcW w:w="1134" w:type="dxa"/>
            <w:vMerge/>
          </w:tcPr>
          <w:p w14:paraId="13EDC68C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23E69C69" w14:textId="77777777" w:rsidR="00EF5798" w:rsidRPr="00E24E1C" w:rsidRDefault="00EF5798" w:rsidP="002D7A75">
            <w:pPr>
              <w:rPr>
                <w:rFonts w:eastAsia="Calibri"/>
              </w:rPr>
            </w:pPr>
          </w:p>
        </w:tc>
      </w:tr>
      <w:tr w:rsidR="00EF5798" w:rsidRPr="006B6D0D" w14:paraId="04E16248" w14:textId="77777777" w:rsidTr="002D7A75">
        <w:trPr>
          <w:trHeight w:val="236"/>
        </w:trPr>
        <w:tc>
          <w:tcPr>
            <w:tcW w:w="1134" w:type="dxa"/>
            <w:vMerge/>
          </w:tcPr>
          <w:p w14:paraId="07C1344B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19FFC97C" w14:textId="77777777" w:rsidR="00EF5798" w:rsidRPr="00E24E1C" w:rsidRDefault="00EF5798" w:rsidP="002D7A75">
            <w:pPr>
              <w:rPr>
                <w:rFonts w:eastAsia="Calibri"/>
              </w:rPr>
            </w:pPr>
            <w:r w:rsidRPr="00E24E1C">
              <w:rPr>
                <w:rFonts w:eastAsia="Calibri"/>
              </w:rPr>
              <w:t>herefter "</w:t>
            </w:r>
            <w:proofErr w:type="spellStart"/>
            <w:r>
              <w:rPr>
                <w:rFonts w:eastAsia="Calibri"/>
                <w:b/>
                <w:bCs/>
              </w:rPr>
              <w:t>Netselskabet</w:t>
            </w:r>
            <w:proofErr w:type="spellEnd"/>
            <w:r w:rsidRPr="00E24E1C">
              <w:rPr>
                <w:rFonts w:eastAsia="Calibri"/>
              </w:rPr>
              <w:t>"</w:t>
            </w:r>
          </w:p>
        </w:tc>
      </w:tr>
      <w:tr w:rsidR="00EF5798" w:rsidRPr="006B6D0D" w14:paraId="32293763" w14:textId="77777777" w:rsidTr="002D7A75">
        <w:trPr>
          <w:trHeight w:val="236"/>
        </w:trPr>
        <w:tc>
          <w:tcPr>
            <w:tcW w:w="1134" w:type="dxa"/>
            <w:vMerge/>
          </w:tcPr>
          <w:p w14:paraId="55841B87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4820ECCC" w14:textId="77777777" w:rsidR="00EF5798" w:rsidRDefault="00EF5798" w:rsidP="002D7A75">
            <w:pPr>
              <w:pStyle w:val="DSBoldCapitals"/>
            </w:pPr>
          </w:p>
        </w:tc>
      </w:tr>
      <w:bookmarkEnd w:id="8"/>
      <w:tr w:rsidR="00EF5798" w:rsidRPr="00510A46" w14:paraId="70E26530" w14:textId="77777777" w:rsidTr="002D7A75">
        <w:trPr>
          <w:trHeight w:val="236"/>
        </w:trPr>
        <w:tc>
          <w:tcPr>
            <w:tcW w:w="1134" w:type="dxa"/>
            <w:vMerge/>
          </w:tcPr>
          <w:p w14:paraId="723E8C4E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64998724" w14:textId="77777777" w:rsidR="00EF5798" w:rsidRPr="002F03AF" w:rsidRDefault="00EF5798" w:rsidP="002D7A75">
            <w:r>
              <w:t xml:space="preserve">Anlægsejer og </w:t>
            </w:r>
            <w:proofErr w:type="spellStart"/>
            <w:r>
              <w:t>Netselskabet</w:t>
            </w:r>
            <w:proofErr w:type="spellEnd"/>
            <w:r>
              <w:t xml:space="preserve"> herefter hver især en "</w:t>
            </w:r>
            <w:r w:rsidRPr="003E266B">
              <w:rPr>
                <w:b/>
              </w:rPr>
              <w:t>Part</w:t>
            </w:r>
            <w:r>
              <w:t>" og samlet "</w:t>
            </w:r>
            <w:r w:rsidRPr="003E266B">
              <w:rPr>
                <w:b/>
              </w:rPr>
              <w:t>Parterne</w:t>
            </w:r>
            <w:r>
              <w:t>"</w:t>
            </w:r>
          </w:p>
        </w:tc>
      </w:tr>
      <w:tr w:rsidR="00EF5798" w:rsidRPr="00510A46" w14:paraId="75910EBC" w14:textId="77777777" w:rsidTr="002D7A75">
        <w:trPr>
          <w:trHeight w:val="236"/>
        </w:trPr>
        <w:tc>
          <w:tcPr>
            <w:tcW w:w="1134" w:type="dxa"/>
          </w:tcPr>
          <w:p w14:paraId="3850DEF8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1186A5BD" w14:textId="77777777" w:rsidR="00EF5798" w:rsidRDefault="00EF5798" w:rsidP="002D7A75"/>
        </w:tc>
      </w:tr>
      <w:tr w:rsidR="00EF5798" w:rsidRPr="00510A46" w14:paraId="0C4849F7" w14:textId="77777777" w:rsidTr="002D7A75">
        <w:trPr>
          <w:trHeight w:val="345"/>
        </w:trPr>
        <w:tc>
          <w:tcPr>
            <w:tcW w:w="1134" w:type="dxa"/>
            <w:vMerge w:val="restart"/>
          </w:tcPr>
          <w:p w14:paraId="58EF42A6" w14:textId="77777777" w:rsidR="00EF5798" w:rsidRDefault="00EF5798" w:rsidP="002D7A75">
            <w:pPr>
              <w:rPr>
                <w:rFonts w:eastAsia="Calibri"/>
              </w:rPr>
            </w:pPr>
            <w:r>
              <w:rPr>
                <w:rFonts w:eastAsia="Calibri"/>
              </w:rPr>
              <w:t>vedrørende</w:t>
            </w:r>
          </w:p>
          <w:p w14:paraId="6DDCB9FC" w14:textId="77777777" w:rsidR="00EF5798" w:rsidRDefault="00EF5798" w:rsidP="002D7A75">
            <w:pPr>
              <w:rPr>
                <w:rFonts w:eastAsia="Calibri"/>
              </w:rPr>
            </w:pPr>
          </w:p>
          <w:p w14:paraId="47D7F707" w14:textId="77777777" w:rsidR="00EF5798" w:rsidRDefault="00EF5798" w:rsidP="002D7A75">
            <w:pPr>
              <w:rPr>
                <w:rFonts w:eastAsia="Calibri"/>
              </w:rPr>
            </w:pPr>
          </w:p>
          <w:p w14:paraId="432C9265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1FF91824" w14:textId="77777777" w:rsidR="00EF5798" w:rsidRPr="00E24E1C" w:rsidRDefault="00EF5798" w:rsidP="002D7A75">
            <w:pPr>
              <w:rPr>
                <w:rFonts w:eastAsia="Calibri"/>
              </w:rPr>
            </w:pPr>
            <w:r w:rsidRPr="00E24E1C">
              <w:rPr>
                <w:rFonts w:eastAsia="Calibri"/>
              </w:rPr>
              <w:t>Anlæg</w:t>
            </w:r>
          </w:p>
        </w:tc>
        <w:tc>
          <w:tcPr>
            <w:tcW w:w="4536" w:type="dxa"/>
          </w:tcPr>
          <w:p w14:paraId="321FE2B0" w14:textId="77777777" w:rsidR="00EF5798" w:rsidRPr="00510A46" w:rsidRDefault="00EF5798" w:rsidP="002D7A75">
            <w:pPr>
              <w:pStyle w:val="DSBoldCapitals"/>
              <w:rPr>
                <w:b w:val="0"/>
              </w:rPr>
            </w:pPr>
            <w:r w:rsidRPr="002B1B9C">
              <w:rPr>
                <w:b w:val="0"/>
                <w:bCs/>
              </w:rPr>
              <w:t>[ * ]</w:t>
            </w:r>
          </w:p>
        </w:tc>
      </w:tr>
      <w:tr w:rsidR="00EF5798" w:rsidRPr="00510A46" w14:paraId="61278FD3" w14:textId="77777777" w:rsidTr="002D7A75">
        <w:trPr>
          <w:trHeight w:val="345"/>
        </w:trPr>
        <w:tc>
          <w:tcPr>
            <w:tcW w:w="1134" w:type="dxa"/>
            <w:vMerge/>
          </w:tcPr>
          <w:p w14:paraId="4C4A3BE8" w14:textId="77777777" w:rsidR="00EF5798" w:rsidRDefault="00EF5798" w:rsidP="002D7A7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56E90F71" w14:textId="77777777" w:rsidR="00EF5798" w:rsidRPr="00E24E1C" w:rsidRDefault="00EF5798" w:rsidP="002D7A75">
            <w:pPr>
              <w:rPr>
                <w:rFonts w:eastAsia="Calibri"/>
              </w:rPr>
            </w:pPr>
            <w:r>
              <w:rPr>
                <w:rFonts w:eastAsia="Calibri"/>
              </w:rPr>
              <w:t>Primær energi</w:t>
            </w:r>
          </w:p>
        </w:tc>
        <w:tc>
          <w:tcPr>
            <w:tcW w:w="4536" w:type="dxa"/>
          </w:tcPr>
          <w:p w14:paraId="46024BED" w14:textId="77777777" w:rsidR="00EF5798" w:rsidRPr="00510A46" w:rsidRDefault="00EF5798" w:rsidP="002D7A75">
            <w:pPr>
              <w:pStyle w:val="DSBoldCapitals"/>
              <w:rPr>
                <w:b w:val="0"/>
              </w:rPr>
            </w:pPr>
            <w:r w:rsidRPr="002B1B9C">
              <w:rPr>
                <w:b w:val="0"/>
                <w:bCs/>
              </w:rPr>
              <w:t>[ * ]</w:t>
            </w:r>
          </w:p>
        </w:tc>
      </w:tr>
      <w:tr w:rsidR="00EF5798" w:rsidRPr="00510A46" w14:paraId="0605BE9D" w14:textId="77777777" w:rsidTr="002D7A75">
        <w:trPr>
          <w:trHeight w:val="345"/>
        </w:trPr>
        <w:tc>
          <w:tcPr>
            <w:tcW w:w="1134" w:type="dxa"/>
            <w:vMerge/>
          </w:tcPr>
          <w:p w14:paraId="45C56B7E" w14:textId="77777777" w:rsidR="00EF5798" w:rsidRDefault="00EF5798" w:rsidP="002D7A7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41B99272" w14:textId="77777777" w:rsidR="00EF5798" w:rsidRDefault="00EF5798" w:rsidP="002D7A75">
            <w:pPr>
              <w:rPr>
                <w:rFonts w:eastAsia="Calibri"/>
              </w:rPr>
            </w:pPr>
            <w:r>
              <w:rPr>
                <w:rFonts w:eastAsia="Calibri"/>
              </w:rPr>
              <w:t>Samlet effekt</w:t>
            </w:r>
          </w:p>
          <w:p w14:paraId="0733F8CF" w14:textId="77777777" w:rsidR="00EF5798" w:rsidRDefault="00EF5798" w:rsidP="002D7A75">
            <w:pPr>
              <w:rPr>
                <w:rFonts w:eastAsia="Calibri"/>
              </w:rPr>
            </w:pPr>
          </w:p>
          <w:p w14:paraId="6FDCC50F" w14:textId="77777777" w:rsidR="00EF5798" w:rsidRPr="0031444F" w:rsidRDefault="00EF5798" w:rsidP="002D7A75">
            <w:pPr>
              <w:rPr>
                <w:rFonts w:eastAsia="Calibri"/>
                <w:b/>
                <w:bCs/>
              </w:rPr>
            </w:pPr>
            <w:r w:rsidRPr="0031444F">
              <w:rPr>
                <w:rFonts w:eastAsia="Calibri"/>
                <w:b/>
                <w:bCs/>
              </w:rPr>
              <w:t xml:space="preserve">Samlet </w:t>
            </w:r>
            <w:proofErr w:type="spellStart"/>
            <w:r w:rsidRPr="0031444F">
              <w:rPr>
                <w:rFonts w:eastAsia="Calibri"/>
                <w:b/>
                <w:bCs/>
              </w:rPr>
              <w:t>Indfødningsomfang</w:t>
            </w:r>
            <w:proofErr w:type="spellEnd"/>
          </w:p>
        </w:tc>
        <w:tc>
          <w:tcPr>
            <w:tcW w:w="4536" w:type="dxa"/>
          </w:tcPr>
          <w:p w14:paraId="0380C292" w14:textId="77777777" w:rsidR="00EF5798" w:rsidRDefault="00EF5798" w:rsidP="002D7A75">
            <w:pPr>
              <w:pStyle w:val="DSBoldCapitals"/>
              <w:rPr>
                <w:b w:val="0"/>
                <w:bCs/>
              </w:rPr>
            </w:pPr>
            <w:proofErr w:type="gramStart"/>
            <w:r w:rsidRPr="002B1B9C">
              <w:rPr>
                <w:b w:val="0"/>
                <w:bCs/>
              </w:rPr>
              <w:t>[ *</w:t>
            </w:r>
            <w:proofErr w:type="gramEnd"/>
            <w:r w:rsidRPr="002B1B9C">
              <w:rPr>
                <w:b w:val="0"/>
                <w:bCs/>
              </w:rPr>
              <w:t xml:space="preserve"> ]</w:t>
            </w:r>
            <w:r>
              <w:rPr>
                <w:b w:val="0"/>
                <w:bCs/>
              </w:rPr>
              <w:t xml:space="preserve"> MW</w:t>
            </w:r>
          </w:p>
          <w:p w14:paraId="7DB500B9" w14:textId="77777777" w:rsidR="00EF5798" w:rsidRDefault="00EF5798" w:rsidP="002D7A75">
            <w:pPr>
              <w:pStyle w:val="DSBoldCapitals"/>
              <w:rPr>
                <w:b w:val="0"/>
              </w:rPr>
            </w:pPr>
            <w:proofErr w:type="gramStart"/>
            <w:r>
              <w:rPr>
                <w:b w:val="0"/>
              </w:rPr>
              <w:t>[ ’</w:t>
            </w:r>
            <w:proofErr w:type="gramEnd"/>
            <w:r>
              <w:rPr>
                <w:b w:val="0"/>
              </w:rPr>
              <w:t xml:space="preserve"> ] MVA</w:t>
            </w:r>
          </w:p>
          <w:p w14:paraId="23E9C76C" w14:textId="77777777" w:rsidR="00EF5798" w:rsidRDefault="00EF5798" w:rsidP="002D7A75">
            <w:pPr>
              <w:pStyle w:val="DSBoldCapitals"/>
              <w:rPr>
                <w:b w:val="0"/>
              </w:rPr>
            </w:pPr>
          </w:p>
          <w:p w14:paraId="5A944AC8" w14:textId="77777777" w:rsidR="00EF5798" w:rsidRPr="00510A46" w:rsidRDefault="00EF5798" w:rsidP="002D7A75">
            <w:pPr>
              <w:pStyle w:val="DSBoldCapitals"/>
              <w:rPr>
                <w:b w:val="0"/>
              </w:rPr>
            </w:pPr>
            <w:proofErr w:type="gramStart"/>
            <w:r>
              <w:rPr>
                <w:b w:val="0"/>
              </w:rPr>
              <w:t>[ *</w:t>
            </w:r>
            <w:proofErr w:type="gramEnd"/>
            <w:r>
              <w:rPr>
                <w:b w:val="0"/>
              </w:rPr>
              <w:t xml:space="preserve"> ] MVA</w:t>
            </w:r>
          </w:p>
        </w:tc>
      </w:tr>
      <w:tr w:rsidR="00EF5798" w:rsidRPr="00510A46" w14:paraId="5F384574" w14:textId="77777777" w:rsidTr="002D7A75">
        <w:trPr>
          <w:trHeight w:val="236"/>
        </w:trPr>
        <w:tc>
          <w:tcPr>
            <w:tcW w:w="1134" w:type="dxa"/>
          </w:tcPr>
          <w:p w14:paraId="256E4C5A" w14:textId="77777777" w:rsidR="00EF5798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1373DED5" w14:textId="77777777" w:rsidR="00EF5798" w:rsidRPr="00E24E1C" w:rsidRDefault="00EF5798" w:rsidP="002D7A75">
            <w:pPr>
              <w:pStyle w:val="DSBoldCapitals"/>
              <w:rPr>
                <w:rFonts w:eastAsia="Calibri" w:cs="Times New Roman"/>
                <w:b w:val="0"/>
                <w:caps w:val="0"/>
              </w:rPr>
            </w:pPr>
          </w:p>
        </w:tc>
      </w:tr>
      <w:tr w:rsidR="00EF5798" w:rsidRPr="00510A46" w14:paraId="46F52D80" w14:textId="77777777" w:rsidTr="002D7A75">
        <w:trPr>
          <w:trHeight w:val="236"/>
        </w:trPr>
        <w:tc>
          <w:tcPr>
            <w:tcW w:w="1134" w:type="dxa"/>
          </w:tcPr>
          <w:p w14:paraId="0CCD5633" w14:textId="77777777" w:rsidR="00EF5798" w:rsidRDefault="00EF5798" w:rsidP="002D7A75">
            <w:pPr>
              <w:rPr>
                <w:rFonts w:eastAsia="Calibri"/>
              </w:rPr>
            </w:pPr>
          </w:p>
        </w:tc>
        <w:tc>
          <w:tcPr>
            <w:tcW w:w="6237" w:type="dxa"/>
            <w:gridSpan w:val="2"/>
          </w:tcPr>
          <w:p w14:paraId="3C709AF3" w14:textId="77777777" w:rsidR="00EF5798" w:rsidRPr="00E24E1C" w:rsidRDefault="00EF5798" w:rsidP="002D7A75">
            <w:pPr>
              <w:pStyle w:val="DSBoldCapitals"/>
              <w:rPr>
                <w:rFonts w:eastAsia="Calibri" w:cs="Times New Roman"/>
                <w:b w:val="0"/>
                <w:caps w:val="0"/>
              </w:rPr>
            </w:pPr>
            <w:r>
              <w:rPr>
                <w:rFonts w:eastAsia="Calibri" w:cs="Times New Roman"/>
                <w:b w:val="0"/>
                <w:caps w:val="0"/>
              </w:rPr>
              <w:t>herefter "</w:t>
            </w:r>
            <w:r>
              <w:rPr>
                <w:rFonts w:eastAsia="Calibri" w:cs="Times New Roman"/>
                <w:bCs/>
                <w:caps w:val="0"/>
              </w:rPr>
              <w:t>Produktionsanlægget</w:t>
            </w:r>
            <w:r>
              <w:rPr>
                <w:rFonts w:eastAsia="Calibri" w:cs="Times New Roman"/>
                <w:b w:val="0"/>
                <w:caps w:val="0"/>
              </w:rPr>
              <w:t>"</w:t>
            </w:r>
          </w:p>
        </w:tc>
      </w:tr>
    </w:tbl>
    <w:p w14:paraId="46DF5D71" w14:textId="77777777" w:rsidR="00EF5798" w:rsidRPr="006B6D0D" w:rsidRDefault="00EF5798" w:rsidP="00EF5798">
      <w:pPr>
        <w:rPr>
          <w:rFonts w:eastAsia="Calibri"/>
        </w:rPr>
      </w:pPr>
    </w:p>
    <w:p w14:paraId="02109F02" w14:textId="77777777" w:rsidR="00EF5798" w:rsidRDefault="00EF5798" w:rsidP="00EF5798">
      <w:pPr>
        <w:spacing w:after="160" w:line="259" w:lineRule="auto"/>
        <w:rPr>
          <w:rFonts w:asciiTheme="majorHAnsi" w:eastAsia="Calibri" w:hAnsiTheme="majorHAnsi" w:cstheme="majorBidi"/>
          <w:b/>
          <w:caps/>
          <w:spacing w:val="5"/>
          <w:szCs w:val="32"/>
        </w:rPr>
      </w:pPr>
      <w:r>
        <w:rPr>
          <w:rFonts w:eastAsia="Calibri"/>
        </w:rPr>
        <w:br w:type="page"/>
      </w:r>
    </w:p>
    <w:p w14:paraId="52B0B2DE" w14:textId="77777777" w:rsidR="00EF5798" w:rsidRPr="00901EFA" w:rsidRDefault="00EF5798" w:rsidP="00EF5798">
      <w:pPr>
        <w:pStyle w:val="Overskrift1"/>
      </w:pPr>
      <w:bookmarkStart w:id="9" w:name="_Toc103660178"/>
      <w:bookmarkStart w:id="10" w:name="_Toc84951886"/>
      <w:r>
        <w:lastRenderedPageBreak/>
        <w:t>Baggrund og formål</w:t>
      </w:r>
    </w:p>
    <w:p w14:paraId="5FCACFC2" w14:textId="77777777" w:rsidR="00EF5798" w:rsidRDefault="00EF5798" w:rsidP="00EF5798">
      <w:pPr>
        <w:pStyle w:val="DSHeadingNoToc2"/>
      </w:pPr>
      <w:r>
        <w:t xml:space="preserve">Parterne indgik den [DATO] en </w:t>
      </w:r>
      <w:proofErr w:type="spellStart"/>
      <w:r>
        <w:t>nettilslutningsaftale</w:t>
      </w:r>
      <w:proofErr w:type="spellEnd"/>
      <w:r>
        <w:t xml:space="preserve"> vedrørende </w:t>
      </w:r>
      <w:proofErr w:type="spellStart"/>
      <w:r>
        <w:t>nettilslutning</w:t>
      </w:r>
      <w:proofErr w:type="spellEnd"/>
      <w:r>
        <w:t xml:space="preserve"> af Produktionsanlægget ("</w:t>
      </w:r>
      <w:r w:rsidRPr="00516CDD">
        <w:rPr>
          <w:b/>
          <w:bCs/>
        </w:rPr>
        <w:t>Aftalen</w:t>
      </w:r>
      <w:r>
        <w:t xml:space="preserve">"). På tidspunktet for Parternes underskrift af Aftalen havde Energistyrelsen oplyst, at der i forbindelse med </w:t>
      </w:r>
      <w:r w:rsidRPr="003F5608">
        <w:t>implementeringen af klimaaftale for energi og industri mv. 2020 af 22. juni 2020 med virkning pr. 1. januar 2023 forvente</w:t>
      </w:r>
      <w:r>
        <w:t>ligt ville blive</w:t>
      </w:r>
      <w:r w:rsidRPr="003F5608">
        <w:t xml:space="preserve"> indført krav om producentbetaling </w:t>
      </w:r>
      <w:r>
        <w:t>ved</w:t>
      </w:r>
      <w:r w:rsidRPr="003F5608">
        <w:t xml:space="preserve"> </w:t>
      </w:r>
      <w:proofErr w:type="spellStart"/>
      <w:r w:rsidRPr="003F5608">
        <w:t>nettilslutning</w:t>
      </w:r>
      <w:proofErr w:type="spellEnd"/>
      <w:r w:rsidRPr="003F5608">
        <w:t xml:space="preserve"> (tilslutningsbidrag) af nye produktionsanlæg i forbindelse med udfasning af udligningsordningen og overgangen til producentbetaling for </w:t>
      </w:r>
      <w:proofErr w:type="spellStart"/>
      <w:r w:rsidRPr="003F5608">
        <w:t>nettilslutning</w:t>
      </w:r>
      <w:proofErr w:type="spellEnd"/>
      <w:r>
        <w:t>.</w:t>
      </w:r>
    </w:p>
    <w:p w14:paraId="02911F8B" w14:textId="77777777" w:rsidR="00EF5798" w:rsidRDefault="00EF5798" w:rsidP="00EF5798">
      <w:pPr>
        <w:pStyle w:val="DSHeadingNoToc2"/>
      </w:pPr>
      <w:r>
        <w:t xml:space="preserve">De nærmere krav om producentbetaling ved </w:t>
      </w:r>
      <w:proofErr w:type="spellStart"/>
      <w:r w:rsidRPr="000A1C02">
        <w:t>nettilslutning</w:t>
      </w:r>
      <w:proofErr w:type="spellEnd"/>
      <w:r>
        <w:t xml:space="preserve"> pr. 1. januar 2023,</w:t>
      </w:r>
      <w:r w:rsidRPr="000A1C02">
        <w:t xml:space="preserve"> </w:t>
      </w:r>
      <w:r>
        <w:t xml:space="preserve">indeholder regler om både betaling af løbende tariffer og </w:t>
      </w:r>
      <w:r w:rsidRPr="000A1C02">
        <w:t>tilslutningsbidrag, jf.</w:t>
      </w:r>
      <w:r>
        <w:t xml:space="preserve"> Aftalens pkt. 11.1.</w:t>
      </w:r>
      <w:r w:rsidRPr="000A1C02">
        <w:t xml:space="preserve"> </w:t>
      </w:r>
      <w:r>
        <w:t xml:space="preserve">I medfør af Aftalens pkt. 11.2 skal Aftalen ændres senest på det tidspunkt, hvor de nærmere krav om producentbetaling for </w:t>
      </w:r>
      <w:proofErr w:type="spellStart"/>
      <w:r>
        <w:t>nettilslutning</w:t>
      </w:r>
      <w:proofErr w:type="spellEnd"/>
      <w:r>
        <w:t xml:space="preserve"> af nye produktionsanlæg, er vedtaget i de nødvendige love og bekendtgørelser, og Forsyningstilsynet har truffet afgørelse om metodegodkendelse. </w:t>
      </w:r>
      <w:r w:rsidRPr="000A1C02">
        <w:t xml:space="preserve">Forsyningstilsynet har truffet afgørelse om metodegodkendelse. </w:t>
      </w:r>
      <w:r>
        <w:t>Dette tillæg til Aftalen ("</w:t>
      </w:r>
      <w:r w:rsidRPr="003E266B">
        <w:rPr>
          <w:b/>
        </w:rPr>
        <w:t>Tillægget</w:t>
      </w:r>
      <w:r>
        <w:t xml:space="preserve">") implementerer de af Forsyningstilsynet godkendte betingelser og vilkår til gennemførelse af sådanne nye krav om producentbetaling ved </w:t>
      </w:r>
      <w:proofErr w:type="spellStart"/>
      <w:r>
        <w:t>nettilslutning</w:t>
      </w:r>
      <w:proofErr w:type="spellEnd"/>
      <w:r>
        <w:t>. Definitioner anvendt i dette Tillæg skal tillægges samme betydning som i Aftalen, medmindre andet specifikt fremgår.</w:t>
      </w:r>
    </w:p>
    <w:p w14:paraId="1473D7B6" w14:textId="77777777" w:rsidR="00EF5798" w:rsidRDefault="00EF5798" w:rsidP="00EF5798">
      <w:pPr>
        <w:pStyle w:val="Overskrift1"/>
      </w:pPr>
      <w:bookmarkStart w:id="11" w:name="_DqNupRq0m0qp9Z/1wTRdIg"/>
      <w:bookmarkEnd w:id="9"/>
      <w:bookmarkEnd w:id="10"/>
      <w:r>
        <w:t xml:space="preserve">Betaling af tilslutningsbidrag </w:t>
      </w:r>
      <w:bookmarkEnd w:id="11"/>
      <w:r>
        <w:t>mv.</w:t>
      </w:r>
    </w:p>
    <w:p w14:paraId="3B272E25" w14:textId="77777777" w:rsidR="00EF5798" w:rsidRDefault="00EF5798" w:rsidP="00EF5798">
      <w:pPr>
        <w:pStyle w:val="DSHeadingNoToc2"/>
      </w:pPr>
      <w:bookmarkStart w:id="12" w:name="_DZrG4h888/k2YDDjeFzlS7w"/>
      <w:r>
        <w:t>Anlægsejer</w:t>
      </w:r>
      <w:r w:rsidRPr="004A0EAF">
        <w:t xml:space="preserve"> afholder alle udgifter </w:t>
      </w:r>
      <w:r>
        <w:t xml:space="preserve">til </w:t>
      </w:r>
      <w:proofErr w:type="spellStart"/>
      <w:r>
        <w:t>nettilslutning</w:t>
      </w:r>
      <w:proofErr w:type="spellEnd"/>
      <w:r>
        <w:t xml:space="preserve"> af Produktionsanlægget</w:t>
      </w:r>
      <w:r w:rsidRPr="004A0EAF">
        <w:t xml:space="preserve"> </w:t>
      </w:r>
      <w:r>
        <w:t>i overensstemmelse med</w:t>
      </w:r>
      <w:r w:rsidRPr="004A0EAF">
        <w:t xml:space="preserve"> gældende lovgivning og godkendte metoder</w:t>
      </w:r>
      <w:r>
        <w:t>, herunder sagsbehandlingsomkostninger og omkostninger til måling.</w:t>
      </w:r>
    </w:p>
    <w:p w14:paraId="692227CB" w14:textId="77777777" w:rsidR="00EF5798" w:rsidRDefault="00EF5798" w:rsidP="00EF5798">
      <w:pPr>
        <w:pStyle w:val="DSHeadingNoToc2"/>
      </w:pPr>
      <w:r>
        <w:t xml:space="preserve">Anlægsejeren skal betale tilslutningsbidrag </w:t>
      </w:r>
      <w:r>
        <w:rPr>
          <w:rFonts w:eastAsia="Calibri"/>
        </w:rPr>
        <w:t>på d</w:t>
      </w:r>
      <w:r w:rsidRPr="00C111D8">
        <w:rPr>
          <w:rFonts w:eastAsia="Calibri"/>
        </w:rPr>
        <w:t xml:space="preserve">et tidspunkt, hvor </w:t>
      </w:r>
      <w:r>
        <w:rPr>
          <w:rFonts w:eastAsia="Calibri"/>
        </w:rPr>
        <w:t>P</w:t>
      </w:r>
      <w:r w:rsidRPr="00C111D8">
        <w:rPr>
          <w:rFonts w:eastAsia="Calibri"/>
        </w:rPr>
        <w:t>roduktionsanlæg</w:t>
      </w:r>
      <w:r>
        <w:rPr>
          <w:rFonts w:eastAsia="Calibri"/>
        </w:rPr>
        <w:t xml:space="preserve">get </w:t>
      </w:r>
      <w:r w:rsidRPr="00C111D8">
        <w:rPr>
          <w:rFonts w:eastAsia="Calibri"/>
        </w:rPr>
        <w:t>første gang leverer elektricitet til det kollektive elforsyningsnet</w:t>
      </w:r>
      <w:r>
        <w:rPr>
          <w:rFonts w:eastAsia="Calibri"/>
        </w:rPr>
        <w:t>, og i henhold til den aftalte effekt, som anført på forsiden af dette Tillæg (”</w:t>
      </w:r>
      <w:r w:rsidRPr="0031444F">
        <w:rPr>
          <w:rFonts w:eastAsia="Calibri"/>
          <w:b/>
          <w:bCs/>
        </w:rPr>
        <w:t>Samlet</w:t>
      </w:r>
      <w:r>
        <w:rPr>
          <w:rFonts w:eastAsia="Calibri"/>
        </w:rPr>
        <w:t xml:space="preserve"> </w:t>
      </w:r>
      <w:proofErr w:type="spellStart"/>
      <w:r w:rsidRPr="003E266B">
        <w:rPr>
          <w:b/>
        </w:rPr>
        <w:t>Indfødningsomfang</w:t>
      </w:r>
      <w:proofErr w:type="spellEnd"/>
      <w:r>
        <w:rPr>
          <w:rFonts w:eastAsia="Calibri"/>
        </w:rPr>
        <w:t xml:space="preserve">”). </w:t>
      </w:r>
      <w:r w:rsidDel="00765F1E">
        <w:t xml:space="preserve"> </w:t>
      </w:r>
      <w:r>
        <w:t xml:space="preserve"> </w:t>
      </w:r>
    </w:p>
    <w:p w14:paraId="5E5D753B" w14:textId="77777777" w:rsidR="00EF5798" w:rsidRDefault="00EF5798" w:rsidP="00EF5798">
      <w:pPr>
        <w:pStyle w:val="DSHeadingNoToc2"/>
      </w:pPr>
      <w:r w:rsidRPr="0052467A">
        <w:rPr>
          <w:b/>
          <w:bCs/>
        </w:rPr>
        <w:t>Bilag 2</w:t>
      </w:r>
      <w:r>
        <w:rPr>
          <w:b/>
          <w:bCs/>
        </w:rPr>
        <w:t>.1</w:t>
      </w:r>
      <w:r w:rsidRPr="0052467A">
        <w:t xml:space="preserve"> til dette Tillæg indeholder en detaljere</w:t>
      </w:r>
      <w:r>
        <w:t>t</w:t>
      </w:r>
      <w:r w:rsidRPr="0052467A">
        <w:t xml:space="preserve"> tids- og betalingsplan</w:t>
      </w:r>
      <w:r>
        <w:t>,</w:t>
      </w:r>
      <w:r w:rsidRPr="0052467A">
        <w:t xml:space="preserve"> som </w:t>
      </w:r>
      <w:r>
        <w:t xml:space="preserve">mellem Parterne </w:t>
      </w:r>
      <w:r w:rsidRPr="0052467A">
        <w:t xml:space="preserve">skal gælde i stedet for </w:t>
      </w:r>
      <w:r>
        <w:t xml:space="preserve">det oprindelige </w:t>
      </w:r>
      <w:r w:rsidRPr="0052467A">
        <w:t xml:space="preserve">Bilag 2 </w:t>
      </w:r>
      <w:r>
        <w:t>[</w:t>
      </w:r>
      <w:r>
        <w:rPr>
          <w:i/>
          <w:iCs/>
        </w:rPr>
        <w:t>Tidsplan og betalinger</w:t>
      </w:r>
      <w:r>
        <w:t xml:space="preserve">] </w:t>
      </w:r>
      <w:r w:rsidRPr="0052467A">
        <w:t>til Aftalen.</w:t>
      </w:r>
    </w:p>
    <w:p w14:paraId="42673425" w14:textId="77777777" w:rsidR="00EF5798" w:rsidRPr="006936DB" w:rsidRDefault="00EF5798" w:rsidP="00EF5798">
      <w:pPr>
        <w:pStyle w:val="DSHeadingNoToc2"/>
      </w:pPr>
      <w:r w:rsidRPr="006936DB">
        <w:t>Tilslutningsbidragets størrelse fastsættes på tidspunktet</w:t>
      </w:r>
      <w:r>
        <w:t xml:space="preserve"> for</w:t>
      </w:r>
      <w:r w:rsidRPr="006936DB">
        <w:t xml:space="preserve"> </w:t>
      </w:r>
      <w:proofErr w:type="spellStart"/>
      <w:r>
        <w:t>Netselskabets</w:t>
      </w:r>
      <w:proofErr w:type="spellEnd"/>
      <w:r>
        <w:t xml:space="preserve"> fremsendelse</w:t>
      </w:r>
      <w:r w:rsidRPr="006936DB">
        <w:t xml:space="preserve"> af </w:t>
      </w:r>
      <w:r>
        <w:t xml:space="preserve">dette Tillæg og fremgår af </w:t>
      </w:r>
      <w:r w:rsidRPr="004F5A3A">
        <w:rPr>
          <w:b/>
          <w:bCs/>
        </w:rPr>
        <w:t>Bilag 2.1</w:t>
      </w:r>
      <w:r w:rsidRPr="006936DB">
        <w:t>.</w:t>
      </w:r>
    </w:p>
    <w:p w14:paraId="0C4855DF" w14:textId="77777777" w:rsidR="00EF5798" w:rsidRDefault="00EF5798" w:rsidP="00EF5798">
      <w:pPr>
        <w:pStyle w:val="DSHeadingNoToc2"/>
      </w:pPr>
      <w:r>
        <w:t xml:space="preserve">Anlægsejers betalingsforpligtelse efter </w:t>
      </w:r>
      <w:r w:rsidRPr="00BD57FF">
        <w:rPr>
          <w:b/>
          <w:bCs/>
        </w:rPr>
        <w:t>Bilag 2.1</w:t>
      </w:r>
      <w:r>
        <w:t xml:space="preserve"> aktualiseres, hvis Produktionsanlægget </w:t>
      </w:r>
      <w:proofErr w:type="spellStart"/>
      <w:r>
        <w:t>nettilsluttes</w:t>
      </w:r>
      <w:proofErr w:type="spellEnd"/>
      <w:r>
        <w:t xml:space="preserve"> som beskrevet i pkt. 2.2 den 1. januar 2023 eller senere. </w:t>
      </w:r>
    </w:p>
    <w:p w14:paraId="4E130B1A" w14:textId="77777777" w:rsidR="00EF5798" w:rsidRDefault="00EF5798" w:rsidP="00EF5798">
      <w:pPr>
        <w:pStyle w:val="DSHeadingNoToc2"/>
        <w:rPr>
          <w:rFonts w:eastAsia="Calibri"/>
        </w:rPr>
      </w:pPr>
      <w:bookmarkStart w:id="13" w:name="_Hlk88482696"/>
      <w:r w:rsidRPr="00C40CCD">
        <w:rPr>
          <w:rFonts w:eastAsia="Calibri"/>
        </w:rPr>
        <w:t xml:space="preserve">Hvis Produktionsanlægget ikke </w:t>
      </w:r>
      <w:proofErr w:type="spellStart"/>
      <w:r w:rsidRPr="00C40CCD">
        <w:rPr>
          <w:rFonts w:eastAsia="Calibri"/>
        </w:rPr>
        <w:t>nettilsluttes</w:t>
      </w:r>
      <w:proofErr w:type="spellEnd"/>
      <w:r w:rsidRPr="00C40CCD">
        <w:rPr>
          <w:rFonts w:eastAsia="Calibri"/>
        </w:rPr>
        <w:t xml:space="preserve"> </w:t>
      </w:r>
      <w:r w:rsidRPr="00DA35EF">
        <w:rPr>
          <w:rFonts w:cs="Arial"/>
        </w:rPr>
        <w:t>senest på Long-stop Datoen</w:t>
      </w:r>
      <w:r>
        <w:rPr>
          <w:rFonts w:eastAsia="Calibri"/>
        </w:rPr>
        <w:t xml:space="preserve"> (som defineret i </w:t>
      </w:r>
      <w:r w:rsidRPr="00EA2430">
        <w:rPr>
          <w:rFonts w:eastAsia="Calibri"/>
          <w:b/>
          <w:bCs/>
        </w:rPr>
        <w:t>Bilag 2.1</w:t>
      </w:r>
      <w:r>
        <w:rPr>
          <w:rFonts w:eastAsia="Calibri"/>
        </w:rPr>
        <w:t xml:space="preserve">) </w:t>
      </w:r>
      <w:r w:rsidRPr="00C40CCD">
        <w:rPr>
          <w:rFonts w:eastAsia="Calibri"/>
        </w:rPr>
        <w:t>på grund af forhold som</w:t>
      </w:r>
      <w:r>
        <w:rPr>
          <w:rFonts w:eastAsia="Calibri"/>
        </w:rPr>
        <w:t xml:space="preserve"> ikke</w:t>
      </w:r>
      <w:r w:rsidRPr="00C40CCD">
        <w:rPr>
          <w:rFonts w:eastAsia="Calibri"/>
        </w:rPr>
        <w:t xml:space="preserve"> henhører under </w:t>
      </w:r>
      <w:proofErr w:type="spellStart"/>
      <w:r>
        <w:rPr>
          <w:rFonts w:eastAsia="Calibri"/>
        </w:rPr>
        <w:t>Netselskabets</w:t>
      </w:r>
      <w:proofErr w:type="spellEnd"/>
      <w:r w:rsidRPr="00C40CCD">
        <w:rPr>
          <w:rFonts w:eastAsia="Calibri"/>
        </w:rPr>
        <w:t xml:space="preserve"> kontrolsfære</w:t>
      </w:r>
      <w:r w:rsidRPr="00E07B54">
        <w:rPr>
          <w:rFonts w:eastAsia="Calibri"/>
        </w:rPr>
        <w:t xml:space="preserve">, skal Anlægsejer betale samtlige af </w:t>
      </w:r>
      <w:r>
        <w:rPr>
          <w:rFonts w:eastAsia="Calibri"/>
        </w:rPr>
        <w:t xml:space="preserve">de </w:t>
      </w:r>
      <w:r w:rsidRPr="00E07B54">
        <w:rPr>
          <w:rFonts w:cs="Arial"/>
        </w:rPr>
        <w:t>faktiske omkostninger</w:t>
      </w:r>
      <w:r>
        <w:rPr>
          <w:rFonts w:cs="Arial"/>
        </w:rPr>
        <w:t>,</w:t>
      </w:r>
      <w:r w:rsidRPr="00E07B54">
        <w:rPr>
          <w:rFonts w:cs="Arial"/>
        </w:rPr>
        <w:t xml:space="preserve"> som </w:t>
      </w:r>
      <w:proofErr w:type="spellStart"/>
      <w:r>
        <w:t>Netselskabet</w:t>
      </w:r>
      <w:proofErr w:type="spellEnd"/>
      <w:r>
        <w:t xml:space="preserve"> </w:t>
      </w:r>
      <w:r w:rsidRPr="00E07B54">
        <w:rPr>
          <w:rFonts w:cs="Arial"/>
        </w:rPr>
        <w:t xml:space="preserve">har pådraget sig </w:t>
      </w:r>
      <w:r>
        <w:rPr>
          <w:rFonts w:cs="Arial"/>
        </w:rPr>
        <w:t>med henblik på</w:t>
      </w:r>
      <w:r w:rsidRPr="00E07B54">
        <w:rPr>
          <w:rFonts w:cs="Arial"/>
        </w:rPr>
        <w:t xml:space="preserve"> </w:t>
      </w:r>
      <w:proofErr w:type="spellStart"/>
      <w:r w:rsidRPr="00E07B54">
        <w:rPr>
          <w:rFonts w:cs="Arial"/>
        </w:rPr>
        <w:t>nettilslutningen</w:t>
      </w:r>
      <w:proofErr w:type="spellEnd"/>
      <w:r w:rsidRPr="00E07B54">
        <w:rPr>
          <w:rFonts w:cs="Arial"/>
        </w:rPr>
        <w:t xml:space="preserve"> af Produktionsanlægget</w:t>
      </w:r>
      <w:r>
        <w:rPr>
          <w:rFonts w:cs="Arial"/>
        </w:rPr>
        <w:t>, dog højest et beløb svarende til størrelsen af tilslutningsbidraget som fastsat i pkt. 2.2</w:t>
      </w:r>
      <w:r w:rsidRPr="00E07B54">
        <w:rPr>
          <w:rFonts w:eastAsia="Calibri"/>
        </w:rPr>
        <w:t xml:space="preserve">. </w:t>
      </w:r>
    </w:p>
    <w:p w14:paraId="4B9DBC09" w14:textId="77777777" w:rsidR="00EF5798" w:rsidRPr="009C716A" w:rsidRDefault="00EF5798" w:rsidP="00EF5798">
      <w:pPr>
        <w:pStyle w:val="DSHeadingNoToc2"/>
      </w:pPr>
      <w:r w:rsidRPr="00C40CCD">
        <w:rPr>
          <w:rFonts w:eastAsia="Calibri"/>
        </w:rPr>
        <w:t>Anlægsejers betaling ændrer ikke på, at eventuelle anlæg</w:t>
      </w:r>
      <w:r>
        <w:rPr>
          <w:rFonts w:eastAsia="Calibri"/>
        </w:rPr>
        <w:t xml:space="preserve"> som etableres af </w:t>
      </w:r>
      <w:proofErr w:type="spellStart"/>
      <w:r>
        <w:rPr>
          <w:rFonts w:eastAsia="Calibri"/>
        </w:rPr>
        <w:t>Netselskabet</w:t>
      </w:r>
      <w:proofErr w:type="spellEnd"/>
      <w:r>
        <w:rPr>
          <w:rFonts w:eastAsia="Calibri"/>
        </w:rPr>
        <w:t>,</w:t>
      </w:r>
      <w:r w:rsidRPr="00C40CCD">
        <w:rPr>
          <w:rFonts w:eastAsia="Calibri"/>
        </w:rPr>
        <w:t xml:space="preserve"> ejes</w:t>
      </w:r>
      <w:r>
        <w:rPr>
          <w:rFonts w:eastAsia="Calibri"/>
        </w:rPr>
        <w:t xml:space="preserve"> af </w:t>
      </w:r>
      <w:proofErr w:type="spellStart"/>
      <w:r>
        <w:rPr>
          <w:rFonts w:eastAsia="Calibri"/>
        </w:rPr>
        <w:t>Netselskabet</w:t>
      </w:r>
      <w:proofErr w:type="spellEnd"/>
      <w:r>
        <w:rPr>
          <w:rFonts w:eastAsia="Calibri"/>
        </w:rPr>
        <w:t>.</w:t>
      </w:r>
    </w:p>
    <w:bookmarkEnd w:id="13"/>
    <w:p w14:paraId="7D438C11" w14:textId="77777777" w:rsidR="00EF5798" w:rsidRDefault="00EF5798" w:rsidP="00EF5798">
      <w:pPr>
        <w:pStyle w:val="DSHeadingNoToc2"/>
      </w:pPr>
      <w:proofErr w:type="gramStart"/>
      <w:r>
        <w:t>Såfremt</w:t>
      </w:r>
      <w:proofErr w:type="gramEnd"/>
      <w:r>
        <w:t xml:space="preserve"> Anlægsejer ønsker at ændre sit </w:t>
      </w:r>
      <w:proofErr w:type="spellStart"/>
      <w:r>
        <w:t>Indfødningsomfang</w:t>
      </w:r>
      <w:proofErr w:type="spellEnd"/>
      <w:r>
        <w:t xml:space="preserve"> omfattet af denne Aftale, skal Anlægsejer indgå en ny </w:t>
      </w:r>
      <w:proofErr w:type="spellStart"/>
      <w:r>
        <w:t>nettilslutningsaftale</w:t>
      </w:r>
      <w:proofErr w:type="spellEnd"/>
      <w:r>
        <w:t>.</w:t>
      </w:r>
      <w:r w:rsidRPr="00EE3B78">
        <w:t xml:space="preserve"> </w:t>
      </w:r>
      <w:r>
        <w:t xml:space="preserve">Ønsker Anlægsejer at reducere sit </w:t>
      </w:r>
      <w:proofErr w:type="spellStart"/>
      <w:r>
        <w:t>Indfødningsomfang</w:t>
      </w:r>
      <w:proofErr w:type="spellEnd"/>
      <w:r>
        <w:t xml:space="preserve"> sker der ikke tilbagebetaling af tilslutningsbidraget. </w:t>
      </w:r>
    </w:p>
    <w:p w14:paraId="23617079" w14:textId="77777777" w:rsidR="00EF5798" w:rsidRPr="00921231" w:rsidRDefault="00EF5798" w:rsidP="00EF5798">
      <w:pPr>
        <w:pStyle w:val="DSHeadingNoToc2"/>
      </w:pPr>
      <w:proofErr w:type="gramStart"/>
      <w:r>
        <w:t>Såfremt</w:t>
      </w:r>
      <w:proofErr w:type="gramEnd"/>
      <w:r>
        <w:t xml:space="preserve"> Anlægsejer ønsker at gennemføre væsentlige ændringer af Produktionsanlægget, som skal fremgå af Aftalens Bilag 3 og Bilag 7, skal Anlægsejer indgå en ny </w:t>
      </w:r>
      <w:proofErr w:type="spellStart"/>
      <w:r>
        <w:t>nettilslutningsaftale</w:t>
      </w:r>
      <w:proofErr w:type="spellEnd"/>
      <w:r>
        <w:t>.</w:t>
      </w:r>
    </w:p>
    <w:p w14:paraId="6C249504" w14:textId="77777777" w:rsidR="00EF5798" w:rsidRPr="00E07B54" w:rsidRDefault="00EF5798" w:rsidP="00EF5798">
      <w:pPr>
        <w:pStyle w:val="DSHeadingNoToc2"/>
      </w:pPr>
      <w:r>
        <w:t xml:space="preserve">Anlægsejer skal stille sikkerhed som beskrevet i Bilag 2.1 med et beløb svarende til tilslutningsbidraget som fastsat i pkt. 2.2. Sikkerheden skal stilles til sikkerhed for (i) tilslutningsbidraget, såfremt Produktionsanlægget bliver tilsluttet Det Kollektive Elforsyningsnet, og (ii) </w:t>
      </w:r>
      <w:r w:rsidRPr="00BA1A5F">
        <w:rPr>
          <w:rFonts w:cs="Arial"/>
        </w:rPr>
        <w:t xml:space="preserve">samtlige faktiske omkostninger som </w:t>
      </w:r>
      <w:proofErr w:type="spellStart"/>
      <w:r>
        <w:rPr>
          <w:rFonts w:cs="Arial"/>
        </w:rPr>
        <w:t>Netselskabet</w:t>
      </w:r>
      <w:proofErr w:type="spellEnd"/>
      <w:r w:rsidRPr="00BA1A5F">
        <w:rPr>
          <w:rFonts w:cs="Arial"/>
        </w:rPr>
        <w:t xml:space="preserve"> pådrage</w:t>
      </w:r>
      <w:r>
        <w:rPr>
          <w:rFonts w:cs="Arial"/>
        </w:rPr>
        <w:t>r</w:t>
      </w:r>
      <w:r w:rsidRPr="00BA1A5F">
        <w:rPr>
          <w:rFonts w:cs="Arial"/>
        </w:rPr>
        <w:t xml:space="preserve"> sig </w:t>
      </w:r>
      <w:proofErr w:type="spellStart"/>
      <w:r>
        <w:rPr>
          <w:rFonts w:cs="Arial"/>
        </w:rPr>
        <w:t>medmed</w:t>
      </w:r>
      <w:proofErr w:type="spellEnd"/>
      <w:r>
        <w:rPr>
          <w:rFonts w:cs="Arial"/>
        </w:rPr>
        <w:t xml:space="preserve"> henblik på</w:t>
      </w:r>
      <w:r w:rsidRPr="00BA1A5F">
        <w:rPr>
          <w:rFonts w:cs="Arial"/>
        </w:rPr>
        <w:t xml:space="preserve"> </w:t>
      </w:r>
      <w:proofErr w:type="spellStart"/>
      <w:r w:rsidRPr="00BA1A5F">
        <w:rPr>
          <w:rFonts w:cs="Arial"/>
        </w:rPr>
        <w:t>nettilslutningen</w:t>
      </w:r>
      <w:proofErr w:type="spellEnd"/>
      <w:r w:rsidRPr="00BA1A5F">
        <w:rPr>
          <w:rFonts w:cs="Arial"/>
        </w:rPr>
        <w:t xml:space="preserve"> af </w:t>
      </w:r>
      <w:r w:rsidRPr="00BA1A5F">
        <w:rPr>
          <w:rFonts w:cs="Arial"/>
        </w:rPr>
        <w:lastRenderedPageBreak/>
        <w:t>Produktionsanlægget, såfremt Produktionsanlægget ikke bliver tilsluttet Det Kollektive Elforsyningsnet</w:t>
      </w:r>
      <w:r>
        <w:rPr>
          <w:rFonts w:cs="Arial"/>
        </w:rPr>
        <w:t xml:space="preserve"> </w:t>
      </w:r>
      <w:r w:rsidRPr="005C6F00">
        <w:rPr>
          <w:rFonts w:cs="Arial"/>
        </w:rPr>
        <w:t>senest på Long-stop Datoen</w:t>
      </w:r>
      <w:r>
        <w:rPr>
          <w:rFonts w:cs="Arial"/>
        </w:rPr>
        <w:t>. Hvis (ii) aktualiseres hæfter Anlægsejer højest med et beløb svarende til størrelsen af tilslutningsbidraget som fastsat i pkt. 2.2.</w:t>
      </w:r>
    </w:p>
    <w:p w14:paraId="5275AA18" w14:textId="77777777" w:rsidR="00EF5798" w:rsidRDefault="00EF5798" w:rsidP="00EF5798">
      <w:pPr>
        <w:pStyle w:val="DSHeadingNoToc2"/>
      </w:pPr>
      <w:bookmarkStart w:id="14" w:name="_Ref93403819"/>
      <w:r>
        <w:t xml:space="preserve">Anlægsejer skal stille sikkerhed over for </w:t>
      </w:r>
      <w:proofErr w:type="spellStart"/>
      <w:r>
        <w:t>Netselskabet</w:t>
      </w:r>
      <w:proofErr w:type="spellEnd"/>
      <w:r>
        <w:t xml:space="preserve"> i overensstemmelse med </w:t>
      </w:r>
      <w:r w:rsidRPr="006146F6">
        <w:t>Bilag 2.1</w:t>
      </w:r>
      <w:r>
        <w:t xml:space="preserve"> senest </w:t>
      </w:r>
      <w:r w:rsidRPr="00880EAF">
        <w:t xml:space="preserve">30 </w:t>
      </w:r>
      <w:r>
        <w:t xml:space="preserve">dage efter </w:t>
      </w:r>
      <w:proofErr w:type="spellStart"/>
      <w:r>
        <w:t>Netselskabets</w:t>
      </w:r>
      <w:proofErr w:type="spellEnd"/>
      <w:r>
        <w:t xml:space="preserve"> krav om sikkerhedsstillelse, dog tidligst den 1. februar 2023.</w:t>
      </w:r>
      <w:bookmarkEnd w:id="14"/>
      <w:r>
        <w:t xml:space="preserve"> </w:t>
      </w:r>
    </w:p>
    <w:p w14:paraId="070B4D70" w14:textId="77777777" w:rsidR="00EF5798" w:rsidRDefault="00EF5798" w:rsidP="00EF5798">
      <w:pPr>
        <w:pStyle w:val="DSHeadingNoToc2"/>
      </w:pPr>
      <w:r>
        <w:t xml:space="preserve">Uanset Aftalens pkt. 10.1 gælder, at hvis sikkerheden over for </w:t>
      </w:r>
      <w:proofErr w:type="spellStart"/>
      <w:r>
        <w:t>Netselskabet</w:t>
      </w:r>
      <w:proofErr w:type="spellEnd"/>
      <w:r>
        <w:t xml:space="preserve"> ikke er stillet inden for tidsfristen angivet i pkt. </w:t>
      </w:r>
      <w:r>
        <w:fldChar w:fldCharType="begin"/>
      </w:r>
      <w:r>
        <w:instrText xml:space="preserve"> REF _Ref93403819 \r \h </w:instrText>
      </w:r>
      <w:r>
        <w:fldChar w:fldCharType="separate"/>
      </w:r>
      <w:r>
        <w:t>2.1</w:t>
      </w:r>
      <w:r>
        <w:fldChar w:fldCharType="end"/>
      </w:r>
      <w:r>
        <w:t xml:space="preserve">1, udgør den manglende sikkerhedsstillelse en væsentlig misligholdelse, og </w:t>
      </w:r>
      <w:proofErr w:type="spellStart"/>
      <w:r>
        <w:t>Netselskabet</w:t>
      </w:r>
      <w:proofErr w:type="spellEnd"/>
      <w:r>
        <w:t xml:space="preserve"> kan hæve Aftalen på dette grundlag.   </w:t>
      </w:r>
    </w:p>
    <w:p w14:paraId="57A678AF" w14:textId="77777777" w:rsidR="00EF5798" w:rsidRPr="00A81BFB" w:rsidRDefault="00EF5798" w:rsidP="00EF5798">
      <w:pPr>
        <w:pStyle w:val="DSHeadingNoToc2"/>
      </w:pPr>
      <w:r>
        <w:t>Sikkerheden som Anlægsejer har stillet i henhold til det oprindelige Bilag 2 [</w:t>
      </w:r>
      <w:r>
        <w:rPr>
          <w:i/>
          <w:iCs/>
        </w:rPr>
        <w:t>Tidsplan og betalinger</w:t>
      </w:r>
      <w:r>
        <w:t xml:space="preserve">] til Aftalen frigives automatisk, når Anlægsejer har stillet den nye sikkerhed i overensstemmelse med </w:t>
      </w:r>
      <w:r w:rsidRPr="00F329E3">
        <w:t>Bilag 2.1</w:t>
      </w:r>
      <w:r>
        <w:t xml:space="preserve">, og </w:t>
      </w:r>
      <w:proofErr w:type="spellStart"/>
      <w:r>
        <w:t>Netselskabet</w:t>
      </w:r>
      <w:proofErr w:type="spellEnd"/>
      <w:r>
        <w:t xml:space="preserve"> skriftligt har godkendt denne. </w:t>
      </w:r>
    </w:p>
    <w:p w14:paraId="2870B7DA" w14:textId="77777777" w:rsidR="00EF5798" w:rsidRPr="008C057D" w:rsidRDefault="00EF5798" w:rsidP="00EF5798">
      <w:pPr>
        <w:pStyle w:val="DSHeadingNoToc2"/>
      </w:pPr>
      <w:r>
        <w:t>Aftalens pkt. 11 [</w:t>
      </w:r>
      <w:r>
        <w:rPr>
          <w:i/>
          <w:iCs/>
        </w:rPr>
        <w:t xml:space="preserve">Betaling af Tilslutningsbidrag og </w:t>
      </w:r>
      <w:r w:rsidRPr="006316FF">
        <w:rPr>
          <w:i/>
          <w:iCs/>
        </w:rPr>
        <w:t>Overgangsordning</w:t>
      </w:r>
      <w:r>
        <w:t xml:space="preserve">] </w:t>
      </w:r>
      <w:r w:rsidRPr="006316FF">
        <w:t>udgår</w:t>
      </w:r>
      <w:r>
        <w:t xml:space="preserve"> af Aftalen.</w:t>
      </w:r>
    </w:p>
    <w:p w14:paraId="0749FDB7" w14:textId="77777777" w:rsidR="00EF5798" w:rsidRDefault="00EF5798" w:rsidP="00EF5798">
      <w:pPr>
        <w:pStyle w:val="Overskrift1"/>
      </w:pPr>
      <w:r>
        <w:t>Andet</w:t>
      </w:r>
    </w:p>
    <w:p w14:paraId="3C970EF3" w14:textId="77777777" w:rsidR="00EF5798" w:rsidRDefault="00EF5798" w:rsidP="00EF5798">
      <w:pPr>
        <w:pStyle w:val="DSHeadingNoToc2"/>
      </w:pPr>
      <w:r>
        <w:t>Tillægget ændrer ikke ved Aftalens øvrige bestemmelser.</w:t>
      </w:r>
    </w:p>
    <w:p w14:paraId="0A256655" w14:textId="77777777" w:rsidR="00EF5798" w:rsidRPr="009209C6" w:rsidRDefault="00EF5798" w:rsidP="00EF5798">
      <w:pPr>
        <w:pStyle w:val="DSHeadingNoToc2"/>
      </w:pPr>
      <w:r>
        <w:t xml:space="preserve">Enhver tvist eller uoverensstemmelse, som direkte eller indirekte måtte udspringe af dette Tillæg eller dets fortolkning, skal behandles i overensstemmelse </w:t>
      </w:r>
      <w:r w:rsidRPr="00125CAB">
        <w:t>med Aftalens pkt. 13</w:t>
      </w:r>
      <w:r>
        <w:t xml:space="preserve"> [Tvistigheder]. </w:t>
      </w:r>
    </w:p>
    <w:bookmarkEnd w:id="12"/>
    <w:p w14:paraId="57D38D7D" w14:textId="77777777" w:rsidR="00EF5798" w:rsidRDefault="00EF5798" w:rsidP="00EF5798">
      <w:pPr>
        <w:pStyle w:val="Normalindrykning"/>
        <w:ind w:left="0"/>
      </w:pPr>
    </w:p>
    <w:p w14:paraId="69E7E09B" w14:textId="77777777" w:rsidR="00EF5798" w:rsidRPr="009D2D7D" w:rsidRDefault="00EF5798" w:rsidP="00EF5798">
      <w:pPr>
        <w:pStyle w:val="Ingenafstand"/>
        <w:rPr>
          <w:rFonts w:cs="Arial"/>
          <w:u w:val="single"/>
        </w:rPr>
      </w:pPr>
    </w:p>
    <w:tbl>
      <w:tblPr>
        <w:tblW w:w="4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ract_Signers"/>
      </w:tblPr>
      <w:tblGrid>
        <w:gridCol w:w="2394"/>
        <w:gridCol w:w="2397"/>
      </w:tblGrid>
      <w:tr w:rsidR="00EF5798" w:rsidRPr="006B6D0D" w14:paraId="53BEB2BE" w14:textId="77777777" w:rsidTr="002D7A75">
        <w:tc>
          <w:tcPr>
            <w:tcW w:w="4791" w:type="dxa"/>
            <w:gridSpan w:val="2"/>
          </w:tcPr>
          <w:p w14:paraId="3A57C21D" w14:textId="77777777" w:rsidR="00EF5798" w:rsidRPr="006B6D0D" w:rsidRDefault="00EF5798" w:rsidP="002D7A75">
            <w:pPr>
              <w:rPr>
                <w:rFonts w:eastAsia="Calibri"/>
                <w:b/>
                <w:caps/>
              </w:rPr>
            </w:pPr>
            <w:bookmarkStart w:id="15" w:name="bmEnd"/>
            <w:bookmarkEnd w:id="15"/>
            <w:r>
              <w:rPr>
                <w:rFonts w:eastAsia="Calibri"/>
                <w:b/>
                <w:caps/>
              </w:rPr>
              <w:t>for Netselskabet</w:t>
            </w:r>
          </w:p>
        </w:tc>
      </w:tr>
      <w:tr w:rsidR="00EF5798" w:rsidRPr="006B6D0D" w14:paraId="74CDECF4" w14:textId="77777777" w:rsidTr="002D7A75">
        <w:trPr>
          <w:trHeight w:val="1233"/>
        </w:trPr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14:paraId="55DC058E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</w:tr>
      <w:tr w:rsidR="00EF5798" w:rsidRPr="006B6D0D" w14:paraId="7EAF20CB" w14:textId="77777777" w:rsidTr="002D7A75">
        <w:trPr>
          <w:trHeight w:val="23"/>
        </w:trPr>
        <w:tc>
          <w:tcPr>
            <w:tcW w:w="2394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1B083AB6" w14:textId="77777777" w:rsidR="00EF5798" w:rsidRPr="006B6D0D" w:rsidRDefault="00EF5798" w:rsidP="002D7A75">
            <w:pPr>
              <w:rPr>
                <w:rFonts w:eastAsia="Calibri"/>
              </w:rPr>
            </w:pPr>
            <w:bookmarkStart w:id="16" w:name="lblSignature" w:colFirst="0" w:colLast="0"/>
            <w:bookmarkStart w:id="17" w:name="lblSignature_2" w:colFirst="3" w:colLast="3"/>
            <w:bookmarkStart w:id="18" w:name="bmSignDate" w:colFirst="1" w:colLast="1"/>
            <w:bookmarkStart w:id="19" w:name="bmSignDate_1" w:colFirst="4" w:colLast="4"/>
            <w:r>
              <w:t>Underskrift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25C12B84" w14:textId="77777777" w:rsidR="00EF5798" w:rsidRPr="006B6D0D" w:rsidRDefault="00EF5798" w:rsidP="002D7A75">
            <w:pPr>
              <w:rPr>
                <w:rFonts w:eastAsia="Calibri"/>
              </w:rPr>
            </w:pPr>
            <w:r>
              <w:t>Dato</w:t>
            </w:r>
          </w:p>
        </w:tc>
      </w:tr>
      <w:tr w:rsidR="00EF5798" w:rsidRPr="006B6D0D" w14:paraId="1810A17D" w14:textId="77777777" w:rsidTr="002D7A75">
        <w:trPr>
          <w:trHeight w:val="23"/>
        </w:trPr>
        <w:tc>
          <w:tcPr>
            <w:tcW w:w="4791" w:type="dxa"/>
            <w:gridSpan w:val="2"/>
          </w:tcPr>
          <w:tbl>
            <w:tblPr>
              <w:tblStyle w:val="DSTableClear"/>
              <w:tblW w:w="0" w:type="auto"/>
              <w:tblLook w:val="04A0" w:firstRow="1" w:lastRow="0" w:firstColumn="1" w:lastColumn="0" w:noHBand="0" w:noVBand="1"/>
            </w:tblPr>
            <w:tblGrid>
              <w:gridCol w:w="514"/>
              <w:gridCol w:w="90"/>
              <w:gridCol w:w="6"/>
            </w:tblGrid>
            <w:tr w:rsidR="00EF5798" w:rsidRPr="006B6D0D" w14:paraId="775910C1" w14:textId="77777777" w:rsidTr="002D7A75">
              <w:tc>
                <w:tcPr>
                  <w:tcW w:w="0" w:type="auto"/>
                  <w:tcMar>
                    <w:right w:w="0" w:type="dxa"/>
                  </w:tcMar>
                </w:tcPr>
                <w:p w14:paraId="1F8A14A4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  <w:bookmarkStart w:id="20" w:name="lblName" w:colFirst="0" w:colLast="0"/>
                  <w:bookmarkEnd w:id="16"/>
                  <w:bookmarkEnd w:id="17"/>
                  <w:bookmarkEnd w:id="18"/>
                  <w:bookmarkEnd w:id="19"/>
                  <w:r>
                    <w:t>Navn</w:t>
                  </w:r>
                </w:p>
              </w:tc>
              <w:tc>
                <w:tcPr>
                  <w:tcW w:w="0" w:type="auto"/>
                  <w:tcMar>
                    <w:right w:w="28" w:type="dxa"/>
                  </w:tcMar>
                </w:tcPr>
                <w:p w14:paraId="0F46AC07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:</w:t>
                  </w:r>
                </w:p>
              </w:tc>
              <w:tc>
                <w:tcPr>
                  <w:tcW w:w="0" w:type="auto"/>
                </w:tcPr>
                <w:p w14:paraId="254230DB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</w:p>
              </w:tc>
            </w:tr>
            <w:bookmarkEnd w:id="20"/>
          </w:tbl>
          <w:p w14:paraId="2EE4BC18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</w:tr>
      <w:tr w:rsidR="00EF5798" w:rsidRPr="006B6D0D" w14:paraId="0921986F" w14:textId="77777777" w:rsidTr="002D7A75">
        <w:trPr>
          <w:trHeight w:val="23"/>
        </w:trPr>
        <w:tc>
          <w:tcPr>
            <w:tcW w:w="4791" w:type="dxa"/>
            <w:gridSpan w:val="2"/>
          </w:tcPr>
          <w:tbl>
            <w:tblPr>
              <w:tblStyle w:val="DSTableClear"/>
              <w:tblW w:w="0" w:type="auto"/>
              <w:tblLook w:val="04A0" w:firstRow="1" w:lastRow="0" w:firstColumn="1" w:lastColumn="0" w:noHBand="0" w:noVBand="1"/>
            </w:tblPr>
            <w:tblGrid>
              <w:gridCol w:w="649"/>
              <w:gridCol w:w="90"/>
              <w:gridCol w:w="6"/>
            </w:tblGrid>
            <w:tr w:rsidR="00EF5798" w:rsidRPr="006B6D0D" w14:paraId="7844FF45" w14:textId="77777777" w:rsidTr="002D7A75">
              <w:tc>
                <w:tcPr>
                  <w:tcW w:w="0" w:type="auto"/>
                  <w:tcMar>
                    <w:right w:w="0" w:type="dxa"/>
                  </w:tcMar>
                </w:tcPr>
                <w:p w14:paraId="510FF7CC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  <w:bookmarkStart w:id="21" w:name="lblPosition" w:colFirst="0" w:colLast="0"/>
                  <w:r>
                    <w:t>Stilling</w:t>
                  </w:r>
                </w:p>
              </w:tc>
              <w:tc>
                <w:tcPr>
                  <w:tcW w:w="0" w:type="auto"/>
                  <w:tcMar>
                    <w:right w:w="28" w:type="dxa"/>
                  </w:tcMar>
                </w:tcPr>
                <w:p w14:paraId="6CA24092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:</w:t>
                  </w:r>
                </w:p>
              </w:tc>
              <w:tc>
                <w:tcPr>
                  <w:tcW w:w="0" w:type="auto"/>
                </w:tcPr>
                <w:p w14:paraId="27941DB9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</w:p>
              </w:tc>
            </w:tr>
            <w:bookmarkEnd w:id="21"/>
          </w:tbl>
          <w:p w14:paraId="0A01FBB2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</w:tr>
    </w:tbl>
    <w:p w14:paraId="68E199B6" w14:textId="77777777" w:rsidR="00EF5798" w:rsidRDefault="00EF5798" w:rsidP="00EF5798"/>
    <w:p w14:paraId="31D2CE95" w14:textId="77777777" w:rsidR="00EF5798" w:rsidRDefault="00EF5798" w:rsidP="00EF5798"/>
    <w:p w14:paraId="7F4C0071" w14:textId="77777777" w:rsidR="00EF5798" w:rsidRDefault="00EF5798" w:rsidP="00EF5798">
      <w:r>
        <w:t>Anlægsejer bekræfter modtagelsen af Tillægget:</w:t>
      </w:r>
    </w:p>
    <w:p w14:paraId="21B9F8D9" w14:textId="77777777" w:rsidR="00EF5798" w:rsidRDefault="00EF5798" w:rsidP="00EF5798"/>
    <w:p w14:paraId="768C51CE" w14:textId="77777777" w:rsidR="00EF5798" w:rsidRDefault="00EF5798" w:rsidP="00EF5798"/>
    <w:tbl>
      <w:tblPr>
        <w:tblW w:w="4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ract_Signers"/>
      </w:tblPr>
      <w:tblGrid>
        <w:gridCol w:w="2394"/>
        <w:gridCol w:w="2397"/>
      </w:tblGrid>
      <w:tr w:rsidR="00EF5798" w:rsidRPr="006B6D0D" w14:paraId="14BB33DE" w14:textId="77777777" w:rsidTr="002D7A75">
        <w:tc>
          <w:tcPr>
            <w:tcW w:w="4791" w:type="dxa"/>
            <w:gridSpan w:val="2"/>
          </w:tcPr>
          <w:p w14:paraId="002B35CA" w14:textId="77777777" w:rsidR="00EF5798" w:rsidRPr="006B6D0D" w:rsidRDefault="00EF5798" w:rsidP="002D7A75">
            <w:pPr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  <w:caps/>
              </w:rPr>
              <w:t>for Anlægsejer</w:t>
            </w:r>
          </w:p>
        </w:tc>
      </w:tr>
      <w:tr w:rsidR="00EF5798" w:rsidRPr="006B6D0D" w14:paraId="57AF5DB9" w14:textId="77777777" w:rsidTr="002D7A75">
        <w:trPr>
          <w:trHeight w:val="1233"/>
        </w:trPr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14:paraId="6CC188F0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</w:tr>
      <w:tr w:rsidR="00EF5798" w:rsidRPr="006B6D0D" w14:paraId="10BBDA85" w14:textId="77777777" w:rsidTr="002D7A75">
        <w:trPr>
          <w:trHeight w:val="23"/>
        </w:trPr>
        <w:tc>
          <w:tcPr>
            <w:tcW w:w="2394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7DAB5BE5" w14:textId="77777777" w:rsidR="00EF5798" w:rsidRPr="006B6D0D" w:rsidRDefault="00EF5798" w:rsidP="002D7A75">
            <w:pPr>
              <w:rPr>
                <w:rFonts w:eastAsia="Calibri"/>
              </w:rPr>
            </w:pPr>
            <w:r>
              <w:t>Underskrift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31F14A4B" w14:textId="77777777" w:rsidR="00EF5798" w:rsidRPr="006B6D0D" w:rsidRDefault="00EF5798" w:rsidP="002D7A75">
            <w:pPr>
              <w:rPr>
                <w:rFonts w:eastAsia="Calibri"/>
              </w:rPr>
            </w:pPr>
            <w:r>
              <w:t>Dato</w:t>
            </w:r>
          </w:p>
        </w:tc>
      </w:tr>
      <w:tr w:rsidR="00EF5798" w:rsidRPr="006B6D0D" w14:paraId="4FEBFC60" w14:textId="77777777" w:rsidTr="002D7A75">
        <w:trPr>
          <w:trHeight w:val="23"/>
        </w:trPr>
        <w:tc>
          <w:tcPr>
            <w:tcW w:w="4791" w:type="dxa"/>
            <w:gridSpan w:val="2"/>
          </w:tcPr>
          <w:tbl>
            <w:tblPr>
              <w:tblStyle w:val="DSTableClear"/>
              <w:tblW w:w="0" w:type="auto"/>
              <w:tblLook w:val="04A0" w:firstRow="1" w:lastRow="0" w:firstColumn="1" w:lastColumn="0" w:noHBand="0" w:noVBand="1"/>
            </w:tblPr>
            <w:tblGrid>
              <w:gridCol w:w="514"/>
              <w:gridCol w:w="90"/>
              <w:gridCol w:w="6"/>
            </w:tblGrid>
            <w:tr w:rsidR="00EF5798" w:rsidRPr="006B6D0D" w14:paraId="186B451C" w14:textId="77777777" w:rsidTr="002D7A75">
              <w:tc>
                <w:tcPr>
                  <w:tcW w:w="0" w:type="auto"/>
                  <w:tcMar>
                    <w:right w:w="0" w:type="dxa"/>
                  </w:tcMar>
                </w:tcPr>
                <w:p w14:paraId="11BAC76F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  <w:r>
                    <w:t>Navn</w:t>
                  </w:r>
                </w:p>
              </w:tc>
              <w:tc>
                <w:tcPr>
                  <w:tcW w:w="0" w:type="auto"/>
                  <w:tcMar>
                    <w:right w:w="28" w:type="dxa"/>
                  </w:tcMar>
                </w:tcPr>
                <w:p w14:paraId="458199C2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:</w:t>
                  </w:r>
                </w:p>
              </w:tc>
              <w:tc>
                <w:tcPr>
                  <w:tcW w:w="0" w:type="auto"/>
                </w:tcPr>
                <w:p w14:paraId="17F4764E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</w:p>
              </w:tc>
            </w:tr>
          </w:tbl>
          <w:p w14:paraId="6647148B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</w:tr>
      <w:tr w:rsidR="00EF5798" w:rsidRPr="006B6D0D" w14:paraId="66DAFB1F" w14:textId="77777777" w:rsidTr="002D7A75">
        <w:trPr>
          <w:trHeight w:val="23"/>
        </w:trPr>
        <w:tc>
          <w:tcPr>
            <w:tcW w:w="4791" w:type="dxa"/>
            <w:gridSpan w:val="2"/>
          </w:tcPr>
          <w:tbl>
            <w:tblPr>
              <w:tblStyle w:val="DSTableClear"/>
              <w:tblW w:w="0" w:type="auto"/>
              <w:tblLook w:val="04A0" w:firstRow="1" w:lastRow="0" w:firstColumn="1" w:lastColumn="0" w:noHBand="0" w:noVBand="1"/>
            </w:tblPr>
            <w:tblGrid>
              <w:gridCol w:w="649"/>
              <w:gridCol w:w="90"/>
              <w:gridCol w:w="6"/>
            </w:tblGrid>
            <w:tr w:rsidR="00EF5798" w:rsidRPr="006B6D0D" w14:paraId="4C667C81" w14:textId="77777777" w:rsidTr="002D7A75">
              <w:tc>
                <w:tcPr>
                  <w:tcW w:w="0" w:type="auto"/>
                  <w:tcMar>
                    <w:right w:w="0" w:type="dxa"/>
                  </w:tcMar>
                </w:tcPr>
                <w:p w14:paraId="2B3DCD96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  <w:r>
                    <w:t>Stilling</w:t>
                  </w:r>
                </w:p>
              </w:tc>
              <w:tc>
                <w:tcPr>
                  <w:tcW w:w="0" w:type="auto"/>
                  <w:tcMar>
                    <w:right w:w="28" w:type="dxa"/>
                  </w:tcMar>
                </w:tcPr>
                <w:p w14:paraId="7D04BDBE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:</w:t>
                  </w:r>
                </w:p>
              </w:tc>
              <w:tc>
                <w:tcPr>
                  <w:tcW w:w="0" w:type="auto"/>
                </w:tcPr>
                <w:p w14:paraId="39F02274" w14:textId="77777777" w:rsidR="00EF5798" w:rsidRPr="006B6D0D" w:rsidRDefault="00EF5798" w:rsidP="002D7A75">
                  <w:pPr>
                    <w:rPr>
                      <w:rFonts w:eastAsia="Calibri"/>
                    </w:rPr>
                  </w:pPr>
                </w:p>
              </w:tc>
            </w:tr>
          </w:tbl>
          <w:p w14:paraId="12C33BD4" w14:textId="77777777" w:rsidR="00EF5798" w:rsidRPr="006B6D0D" w:rsidRDefault="00EF5798" w:rsidP="002D7A75">
            <w:pPr>
              <w:rPr>
                <w:rFonts w:eastAsia="Calibri"/>
              </w:rPr>
            </w:pPr>
          </w:p>
        </w:tc>
      </w:tr>
    </w:tbl>
    <w:p w14:paraId="79E0BC8F" w14:textId="77777777" w:rsidR="00EF5798" w:rsidRDefault="00EF5798" w:rsidP="00EF5798"/>
    <w:p w14:paraId="7D814D5B" w14:textId="2045F52D" w:rsidR="00477857" w:rsidRPr="00EF5798" w:rsidRDefault="00477857" w:rsidP="00EF5798"/>
    <w:sectPr w:rsidR="00477857" w:rsidRPr="00EF5798" w:rsidSect="00DB1A78">
      <w:headerReference w:type="even" r:id="rId11"/>
      <w:footerReference w:type="even" r:id="rId12"/>
      <w:footerReference w:type="default" r:id="rId13"/>
      <w:headerReference w:type="first" r:id="rId14"/>
      <w:pgSz w:w="11906" w:h="16838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7D05" w14:textId="77777777" w:rsidR="00563EF3" w:rsidRDefault="00563EF3" w:rsidP="009564FE">
      <w:pPr>
        <w:spacing w:line="240" w:lineRule="auto"/>
      </w:pPr>
      <w:r>
        <w:separator/>
      </w:r>
    </w:p>
  </w:endnote>
  <w:endnote w:type="continuationSeparator" w:id="0">
    <w:p w14:paraId="5A59FF2B" w14:textId="77777777" w:rsidR="00563EF3" w:rsidRDefault="00563EF3" w:rsidP="00956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090928752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BD8FCAB" w14:textId="592CB725" w:rsidR="009564FE" w:rsidRDefault="009564FE" w:rsidP="00A042BC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4A2542"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1F6B65D7" w14:textId="77777777" w:rsidR="009564FE" w:rsidRDefault="009564FE" w:rsidP="009564F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sz w:val="16"/>
        <w:szCs w:val="16"/>
      </w:rPr>
      <w:id w:val="9251675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5AC6E84" w14:textId="4322BCB2" w:rsidR="00A042BC" w:rsidRPr="00A042BC" w:rsidRDefault="00A042BC" w:rsidP="000637FD">
        <w:pPr>
          <w:pStyle w:val="Sidefod"/>
          <w:framePr w:wrap="none" w:vAnchor="text" w:hAnchor="margin" w:xAlign="right" w:y="1"/>
          <w:rPr>
            <w:rStyle w:val="Sidetal"/>
            <w:sz w:val="16"/>
            <w:szCs w:val="16"/>
          </w:rPr>
        </w:pPr>
        <w:r w:rsidRPr="00A042BC">
          <w:rPr>
            <w:rStyle w:val="Sidetal"/>
            <w:color w:val="808080" w:themeColor="background1" w:themeShade="80"/>
            <w:sz w:val="16"/>
            <w:szCs w:val="16"/>
          </w:rPr>
          <w:fldChar w:fldCharType="begin"/>
        </w:r>
        <w:r w:rsidRPr="00A042BC">
          <w:rPr>
            <w:rStyle w:val="Sidetal"/>
            <w:color w:val="808080" w:themeColor="background1" w:themeShade="80"/>
            <w:sz w:val="16"/>
            <w:szCs w:val="16"/>
          </w:rPr>
          <w:instrText xml:space="preserve"> PAGE </w:instrText>
        </w:r>
        <w:r w:rsidRPr="00A042BC">
          <w:rPr>
            <w:rStyle w:val="Sidetal"/>
            <w:color w:val="808080" w:themeColor="background1" w:themeShade="80"/>
            <w:sz w:val="16"/>
            <w:szCs w:val="16"/>
          </w:rPr>
          <w:fldChar w:fldCharType="separate"/>
        </w:r>
        <w:r w:rsidRPr="00A042BC">
          <w:rPr>
            <w:rStyle w:val="Sidetal"/>
            <w:noProof/>
            <w:color w:val="808080" w:themeColor="background1" w:themeShade="80"/>
            <w:sz w:val="16"/>
            <w:szCs w:val="16"/>
          </w:rPr>
          <w:t>1</w:t>
        </w:r>
        <w:r w:rsidRPr="00A042BC">
          <w:rPr>
            <w:rStyle w:val="Sidetal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74F4D4E7" w14:textId="689215C9" w:rsidR="009564FE" w:rsidRDefault="009564FE" w:rsidP="00F23C30">
    <w:pPr>
      <w:pStyle w:val="Sidefod"/>
      <w:tabs>
        <w:tab w:val="left" w:pos="14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2F9B" w14:textId="77777777" w:rsidR="00563EF3" w:rsidRDefault="00563EF3" w:rsidP="009564FE">
      <w:pPr>
        <w:spacing w:line="240" w:lineRule="auto"/>
      </w:pPr>
      <w:r>
        <w:separator/>
      </w:r>
    </w:p>
  </w:footnote>
  <w:footnote w:type="continuationSeparator" w:id="0">
    <w:p w14:paraId="568FA2FB" w14:textId="77777777" w:rsidR="00563EF3" w:rsidRDefault="00563EF3" w:rsidP="00956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0220" w14:textId="5E0096A8" w:rsidR="0033177D" w:rsidRDefault="00C626F6">
    <w:pPr>
      <w:pStyle w:val="Sidehoved"/>
    </w:pPr>
    <w:r>
      <w:rPr>
        <w:noProof/>
      </w:rPr>
      <w:pict w14:anchorId="57A0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652370" o:spid="_x0000_s1026" type="#_x0000_t75" alt="" style="position:absolute;margin-left:0;margin-top:0;width:750pt;height:105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05E" w14:textId="10574AC5" w:rsidR="0033177D" w:rsidRDefault="00EF5798">
    <w:pPr>
      <w:pStyle w:val="Sidehoved"/>
    </w:pPr>
    <w:r w:rsidRPr="006A6AA7">
      <w:rPr>
        <w:rFonts w:eastAsia="Arial"/>
        <w:i/>
        <w:iCs/>
        <w:sz w:val="18"/>
        <w:szCs w:val="18"/>
        <w:lang w:eastAsia="en-US"/>
      </w:rPr>
      <w:t xml:space="preserve">Denne vejledning er </w:t>
    </w:r>
    <w:r>
      <w:rPr>
        <w:rFonts w:eastAsia="Arial"/>
        <w:i/>
        <w:iCs/>
        <w:sz w:val="18"/>
        <w:szCs w:val="18"/>
        <w:lang w:eastAsia="en-US"/>
      </w:rPr>
      <w:t>godkendt</w:t>
    </w:r>
    <w:r w:rsidRPr="006A6AA7">
      <w:rPr>
        <w:rFonts w:eastAsia="Arial"/>
        <w:i/>
        <w:iCs/>
        <w:sz w:val="18"/>
        <w:szCs w:val="18"/>
        <w:lang w:eastAsia="en-US"/>
      </w:rPr>
      <w:t xml:space="preserve"> </w:t>
    </w:r>
    <w:r>
      <w:rPr>
        <w:rFonts w:eastAsia="Arial"/>
        <w:i/>
        <w:iCs/>
        <w:sz w:val="18"/>
        <w:szCs w:val="18"/>
        <w:lang w:eastAsia="en-US"/>
      </w:rPr>
      <w:t>af</w:t>
    </w:r>
    <w:r w:rsidRPr="006A6AA7">
      <w:rPr>
        <w:rFonts w:eastAsia="Arial"/>
        <w:i/>
        <w:iCs/>
        <w:sz w:val="18"/>
        <w:szCs w:val="18"/>
        <w:lang w:eastAsia="en-US"/>
      </w:rPr>
      <w:t xml:space="preserve"> Forsyningstilsynet den </w:t>
    </w:r>
    <w:r>
      <w:rPr>
        <w:rFonts w:eastAsia="Arial"/>
        <w:i/>
        <w:iCs/>
        <w:sz w:val="18"/>
        <w:szCs w:val="18"/>
        <w:lang w:eastAsia="en-US"/>
      </w:rPr>
      <w:t>24</w:t>
    </w:r>
    <w:r w:rsidRPr="006A6AA7">
      <w:rPr>
        <w:rFonts w:eastAsia="Arial"/>
        <w:i/>
        <w:iCs/>
        <w:sz w:val="18"/>
        <w:szCs w:val="18"/>
        <w:lang w:eastAsia="en-US"/>
      </w:rPr>
      <w:t>.</w:t>
    </w:r>
    <w:r>
      <w:rPr>
        <w:rFonts w:eastAsia="Arial"/>
        <w:i/>
        <w:iCs/>
        <w:sz w:val="18"/>
        <w:szCs w:val="18"/>
        <w:lang w:eastAsia="en-US"/>
      </w:rPr>
      <w:t xml:space="preserve"> november</w:t>
    </w:r>
    <w:r w:rsidRPr="006A6AA7">
      <w:rPr>
        <w:rFonts w:eastAsia="Arial"/>
        <w:i/>
        <w:iCs/>
        <w:sz w:val="18"/>
        <w:szCs w:val="18"/>
        <w:lang w:eastAsia="en-US"/>
      </w:rPr>
      <w:t xml:space="preserve"> 2022 i medfør af elforsyningslovens § 73 b</w:t>
    </w:r>
    <w:r>
      <w:rPr>
        <w:noProof/>
      </w:rPr>
      <w:t xml:space="preserve"> </w:t>
    </w:r>
    <w:r w:rsidR="00DB1A78">
      <w:rPr>
        <w:noProof/>
      </w:rPr>
      <w:drawing>
        <wp:anchor distT="0" distB="0" distL="114300" distR="114300" simplePos="0" relativeHeight="251657216" behindDoc="0" locked="0" layoutInCell="1" allowOverlap="1" wp14:anchorId="2A04AAF3" wp14:editId="06E32ECD">
          <wp:simplePos x="0" y="0"/>
          <wp:positionH relativeFrom="margin">
            <wp:posOffset>3706495</wp:posOffset>
          </wp:positionH>
          <wp:positionV relativeFrom="margin">
            <wp:posOffset>-544195</wp:posOffset>
          </wp:positionV>
          <wp:extent cx="1889760" cy="820420"/>
          <wp:effectExtent l="0" t="0" r="2540" b="508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DC82FC"/>
    <w:multiLevelType w:val="hybridMultilevel"/>
    <w:tmpl w:val="691307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0D272AE"/>
    <w:multiLevelType w:val="multilevel"/>
    <w:tmpl w:val="DE6C98F4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color w:val="auto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 w16cid:durableId="2131246131">
    <w:abstractNumId w:val="0"/>
  </w:num>
  <w:num w:numId="2" w16cid:durableId="154385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57"/>
    <w:rsid w:val="000035F9"/>
    <w:rsid w:val="00065422"/>
    <w:rsid w:val="000E0F85"/>
    <w:rsid w:val="000F202C"/>
    <w:rsid w:val="00165C6A"/>
    <w:rsid w:val="001742CD"/>
    <w:rsid w:val="001E1631"/>
    <w:rsid w:val="00267870"/>
    <w:rsid w:val="002B0F32"/>
    <w:rsid w:val="002D1964"/>
    <w:rsid w:val="0033177D"/>
    <w:rsid w:val="00346313"/>
    <w:rsid w:val="004476D3"/>
    <w:rsid w:val="00477857"/>
    <w:rsid w:val="004A2542"/>
    <w:rsid w:val="004E2695"/>
    <w:rsid w:val="00535698"/>
    <w:rsid w:val="00550339"/>
    <w:rsid w:val="00563EF3"/>
    <w:rsid w:val="005B7FED"/>
    <w:rsid w:val="005E1FAC"/>
    <w:rsid w:val="005F24AD"/>
    <w:rsid w:val="00724985"/>
    <w:rsid w:val="007F7518"/>
    <w:rsid w:val="00892B6A"/>
    <w:rsid w:val="00933986"/>
    <w:rsid w:val="009564FE"/>
    <w:rsid w:val="00980675"/>
    <w:rsid w:val="009B01F2"/>
    <w:rsid w:val="00A042BC"/>
    <w:rsid w:val="00A50513"/>
    <w:rsid w:val="00A5558F"/>
    <w:rsid w:val="00AC1B41"/>
    <w:rsid w:val="00B16731"/>
    <w:rsid w:val="00B627B8"/>
    <w:rsid w:val="00C62A86"/>
    <w:rsid w:val="00C84906"/>
    <w:rsid w:val="00CA65EC"/>
    <w:rsid w:val="00DB1A78"/>
    <w:rsid w:val="00DE490A"/>
    <w:rsid w:val="00E409F1"/>
    <w:rsid w:val="00ED4A15"/>
    <w:rsid w:val="00EF5798"/>
    <w:rsid w:val="00F226D3"/>
    <w:rsid w:val="00F23C30"/>
    <w:rsid w:val="00F3665F"/>
    <w:rsid w:val="00F408F5"/>
    <w:rsid w:val="00F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7BD2"/>
  <w15:chartTrackingRefBased/>
  <w15:docId w15:val="{D48962F9-50F6-0D47-9C6F-2F2DF40E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4FE"/>
    <w:pPr>
      <w:spacing w:line="280" w:lineRule="atLeast"/>
    </w:pPr>
    <w:rPr>
      <w:rFonts w:ascii="Arial" w:eastAsia="Times New Roman" w:hAnsi="Arial" w:cs="Times New Roman"/>
      <w:sz w:val="22"/>
      <w:szCs w:val="22"/>
      <w:lang w:eastAsia="da-DK"/>
    </w:rPr>
  </w:style>
  <w:style w:type="paragraph" w:styleId="Overskrift1">
    <w:name w:val="heading 1"/>
    <w:aliases w:val="Section Heading,h1,A MAJOR/BOLD,Schedheading,Heading 1(Report Only),h1 chapter heading,H1,Attribute Heading 1,Roman 14 B Heading,Roman 14 B Heading1,Roman 14 B Heading2,Roman 14 B Heading11,new page/chapter,1st level,(Alt+1),Part,Level 1,1"/>
    <w:basedOn w:val="Normal"/>
    <w:next w:val="Normalindrykning"/>
    <w:link w:val="Overskrift1Tegn"/>
    <w:uiPriority w:val="9"/>
    <w:qFormat/>
    <w:rsid w:val="00EF5798"/>
    <w:pPr>
      <w:keepNext/>
      <w:numPr>
        <w:numId w:val="2"/>
      </w:numPr>
      <w:spacing w:before="260" w:after="130" w:line="260" w:lineRule="atLeast"/>
      <w:outlineLvl w:val="0"/>
    </w:pPr>
    <w:rPr>
      <w:rFonts w:asciiTheme="majorHAnsi" w:eastAsiaTheme="majorEastAsia" w:hAnsiTheme="majorHAnsi" w:cstheme="majorBidi"/>
      <w:b/>
      <w:caps/>
      <w:spacing w:val="5"/>
      <w:sz w:val="18"/>
      <w:szCs w:val="32"/>
      <w:lang w:eastAsia="en-US"/>
    </w:rPr>
  </w:style>
  <w:style w:type="paragraph" w:styleId="Overskrift2">
    <w:name w:val="heading 2"/>
    <w:aliases w:val="Reset numbering,h2,2,Heading B,H2,(Alt+2),Attribute Heading 2,L2,Level 2,Level Heading 2,H21,H22,H23,H211,H221,H24,H212,H222,H231,H2111,H2211,h2 (TOC),Chapter Title,hoofdstuk 1.1,headline,Level 2 Topic Heading,Paragraafkop,level2,level 2,H"/>
    <w:basedOn w:val="Normal"/>
    <w:next w:val="Normalindrykning"/>
    <w:link w:val="Overskrift2Tegn"/>
    <w:uiPriority w:val="9"/>
    <w:qFormat/>
    <w:rsid w:val="00EF5798"/>
    <w:pPr>
      <w:keepNext/>
      <w:numPr>
        <w:ilvl w:val="1"/>
        <w:numId w:val="2"/>
      </w:numPr>
      <w:spacing w:before="260" w:after="130" w:line="26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 w:val="18"/>
      <w:szCs w:val="26"/>
      <w:lang w:eastAsia="en-US"/>
    </w:rPr>
  </w:style>
  <w:style w:type="paragraph" w:styleId="Overskrift3">
    <w:name w:val="heading 3"/>
    <w:aliases w:val="Level 1 - 1,Heading P,Sub-section,level3,level 3,H3,Mia,MPS Standard Sub-Sub Heading,PA Minor Section,h3,numbered indent 3,ni3,Minor,Numbered - 3,.,(Alt+3),(Alt+3)1,(Alt+3)2,(Alt+3)3,(Alt+3)4,(Alt+3)5,(Alt+3)6,(Alt+3)11,(Alt+3)21,(Alt+3)31"/>
    <w:basedOn w:val="Normal"/>
    <w:next w:val="Normalindrykning"/>
    <w:link w:val="Overskrift3Tegn"/>
    <w:uiPriority w:val="9"/>
    <w:qFormat/>
    <w:rsid w:val="00EF5798"/>
    <w:pPr>
      <w:numPr>
        <w:ilvl w:val="2"/>
        <w:numId w:val="2"/>
      </w:numPr>
      <w:tabs>
        <w:tab w:val="clear" w:pos="993"/>
        <w:tab w:val="num" w:pos="851"/>
      </w:tabs>
      <w:spacing w:before="260" w:after="130" w:line="260" w:lineRule="atLeast"/>
      <w:ind w:left="851"/>
      <w:outlineLvl w:val="2"/>
    </w:pPr>
    <w:rPr>
      <w:rFonts w:asciiTheme="majorHAnsi" w:eastAsiaTheme="majorEastAsia" w:hAnsiTheme="majorHAnsi" w:cstheme="majorBidi"/>
      <w:b/>
      <w:sz w:val="18"/>
      <w:szCs w:val="24"/>
      <w:lang w:eastAsia="en-US"/>
    </w:rPr>
  </w:style>
  <w:style w:type="paragraph" w:styleId="Overskrift4">
    <w:name w:val="heading 4"/>
    <w:aliases w:val="Level 2 - a,h4,Second Level Heading HM,Subhead C,Heading Four,heading 4,H4,Exhibit,level4,level 4,4 dash,d,3,Su,MPS Standard Sub- Sub-Sub Heading,PA Micro Section,Sub-Minor,Numbered - 4,(Alt+4),H41,(Alt+4)1,H42,(Alt+4)2,H43,(Alt+4)3,H44"/>
    <w:basedOn w:val="Normal"/>
    <w:next w:val="Normalindrykning"/>
    <w:link w:val="Overskrift4Tegn"/>
    <w:uiPriority w:val="9"/>
    <w:qFormat/>
    <w:rsid w:val="00EF5798"/>
    <w:pPr>
      <w:numPr>
        <w:ilvl w:val="3"/>
        <w:numId w:val="2"/>
      </w:numPr>
      <w:spacing w:before="260" w:after="130" w:line="260" w:lineRule="atLeast"/>
      <w:outlineLvl w:val="3"/>
    </w:pPr>
    <w:rPr>
      <w:rFonts w:asciiTheme="majorHAnsi" w:eastAsiaTheme="majorEastAsia" w:hAnsiTheme="majorHAnsi" w:cstheme="majorBidi"/>
      <w:b/>
      <w:iCs/>
      <w:sz w:val="18"/>
      <w:szCs w:val="18"/>
      <w:lang w:eastAsia="en-US"/>
    </w:rPr>
  </w:style>
  <w:style w:type="paragraph" w:styleId="Overskrift5">
    <w:name w:val="heading 5"/>
    <w:aliases w:val="Level 3 - i,Heading 5(unused),Level 3 - (i),Third Level Heading,h5,Response Type,Response Type1,Response Type2,Response Type3,Response Type4,Response Type5,Response Type6,Response Type7,Appendix A to X,Heading 5   Appendix A to X,H5,Lev 5,5"/>
    <w:basedOn w:val="Normal"/>
    <w:next w:val="Normalindrykning"/>
    <w:link w:val="Overskrift5Tegn"/>
    <w:uiPriority w:val="9"/>
    <w:qFormat/>
    <w:rsid w:val="00EF5798"/>
    <w:pPr>
      <w:numPr>
        <w:ilvl w:val="4"/>
        <w:numId w:val="2"/>
      </w:numPr>
      <w:spacing w:before="260" w:after="130" w:line="260" w:lineRule="atLeast"/>
      <w:outlineLvl w:val="4"/>
    </w:pPr>
    <w:rPr>
      <w:rFonts w:asciiTheme="majorHAnsi" w:eastAsiaTheme="majorEastAsia" w:hAnsiTheme="majorHAnsi" w:cstheme="majorBidi"/>
      <w:b/>
      <w:sz w:val="18"/>
      <w:szCs w:val="18"/>
      <w:lang w:eastAsia="en-US"/>
    </w:rPr>
  </w:style>
  <w:style w:type="paragraph" w:styleId="Overskrift6">
    <w:name w:val="heading 6"/>
    <w:aliases w:val="Legal Level 1.,Heading 6(unused),L1 PIP,Heading 6  Appendix Y &amp; Z,Lev 6,H6 DO NOT USE,Bullet list,PA Appendix,H6,H61,PR14,6,h6,level6,level 6,ITT t6,Normal diagram,(I),Marginal,- Accura 1,Legal Level 1. + Sort,Linj...,(A),(b),- (a),Appendix"/>
    <w:basedOn w:val="Normal"/>
    <w:next w:val="Normal"/>
    <w:link w:val="Overskrift6Tegn"/>
    <w:uiPriority w:val="9"/>
    <w:qFormat/>
    <w:rsid w:val="00EF5798"/>
    <w:pPr>
      <w:keepNext/>
      <w:keepLines/>
      <w:numPr>
        <w:ilvl w:val="5"/>
        <w:numId w:val="2"/>
      </w:numPr>
      <w:spacing w:before="260" w:after="130" w:line="260" w:lineRule="atLeast"/>
      <w:outlineLvl w:val="5"/>
    </w:pPr>
    <w:rPr>
      <w:rFonts w:asciiTheme="majorHAnsi" w:eastAsiaTheme="majorEastAsia" w:hAnsiTheme="majorHAnsi" w:cstheme="majorBidi"/>
      <w:b/>
      <w:sz w:val="18"/>
      <w:szCs w:val="18"/>
      <w:lang w:eastAsia="en-US"/>
    </w:rPr>
  </w:style>
  <w:style w:type="paragraph" w:styleId="Overskrift7">
    <w:name w:val="heading 7"/>
    <w:aliases w:val="Legal Level 1.1.,Simple arabic numbers,h7,Heading 7(unused),L2 PIP,Lev 7,H7DO NOT USE,PA Appendix Major,H7,ITT t7,level1-noHeading,E1 Marginal,- Accura 1.1,level1noheading,7,Legal Level 5.6.,Appendix Major,Body Text 6,heading 7,i."/>
    <w:basedOn w:val="Normal"/>
    <w:next w:val="Normal"/>
    <w:link w:val="Overskrift7Tegn"/>
    <w:uiPriority w:val="9"/>
    <w:qFormat/>
    <w:rsid w:val="00EF5798"/>
    <w:pPr>
      <w:keepNext/>
      <w:keepLines/>
      <w:numPr>
        <w:ilvl w:val="6"/>
        <w:numId w:val="2"/>
      </w:numPr>
      <w:spacing w:before="260" w:after="130" w:line="260" w:lineRule="atLeast"/>
      <w:outlineLvl w:val="6"/>
    </w:pPr>
    <w:rPr>
      <w:rFonts w:asciiTheme="majorHAnsi" w:eastAsiaTheme="majorEastAsia" w:hAnsiTheme="majorHAnsi" w:cstheme="majorBidi"/>
      <w:b/>
      <w:iCs/>
      <w:sz w:val="18"/>
      <w:szCs w:val="18"/>
      <w:lang w:eastAsia="en-US"/>
    </w:rPr>
  </w:style>
  <w:style w:type="paragraph" w:styleId="Overskrift8">
    <w:name w:val="heading 8"/>
    <w:aliases w:val="Legal Level 1.1.1.,Lev 8,h8 DO NOT USE,PA Appendix Minor,H8,ITT t8,level2(a),E2 Marginal,- Accura 1.1.1,AppendixSubHead,8,Simple alpha numbers,h8,Accura 1.1.1,Appendix Minor,Body Text 7,Heading 8(unused),L3 PIP,Level 1.1.1,Reference List"/>
    <w:basedOn w:val="Normal"/>
    <w:next w:val="Normal"/>
    <w:link w:val="Overskrift8Tegn"/>
    <w:uiPriority w:val="9"/>
    <w:qFormat/>
    <w:rsid w:val="00EF5798"/>
    <w:pPr>
      <w:keepNext/>
      <w:keepLines/>
      <w:numPr>
        <w:ilvl w:val="7"/>
        <w:numId w:val="2"/>
      </w:numPr>
      <w:spacing w:before="260" w:after="130" w:line="260" w:lineRule="atLeast"/>
      <w:outlineLvl w:val="7"/>
    </w:pPr>
    <w:rPr>
      <w:rFonts w:asciiTheme="majorHAnsi" w:eastAsiaTheme="majorEastAsia" w:hAnsiTheme="majorHAnsi" w:cstheme="majorBidi"/>
      <w:b/>
      <w:sz w:val="18"/>
      <w:szCs w:val="21"/>
      <w:lang w:eastAsia="en-US"/>
    </w:rPr>
  </w:style>
  <w:style w:type="paragraph" w:styleId="Overskrift9">
    <w:name w:val="heading 9"/>
    <w:aliases w:val="Legal Level 1.1.1.1.,Heading 9 (defunct),Lev 9,h9 DO NOT USE,App Heading,Titre 10,App1,H9,ITT t9,level3(i),E3 Marginal,AppendixBodyHead,h9,9,Body Text 8,Bullet 2,Heading 9(unused),IT,Level (a),aat,heading 9,number,progress,rb,req,req bullet"/>
    <w:basedOn w:val="Normal"/>
    <w:next w:val="Normal"/>
    <w:link w:val="Overskrift9Tegn"/>
    <w:uiPriority w:val="9"/>
    <w:qFormat/>
    <w:rsid w:val="00EF5798"/>
    <w:pPr>
      <w:keepNext/>
      <w:keepLines/>
      <w:numPr>
        <w:ilvl w:val="8"/>
        <w:numId w:val="2"/>
      </w:numPr>
      <w:spacing w:before="260" w:after="130" w:line="260" w:lineRule="atLeast"/>
      <w:outlineLvl w:val="8"/>
    </w:pPr>
    <w:rPr>
      <w:rFonts w:asciiTheme="majorHAnsi" w:eastAsiaTheme="majorEastAsia" w:hAnsiTheme="majorHAnsi" w:cstheme="majorBidi"/>
      <w:b/>
      <w:iCs/>
      <w:sz w:val="18"/>
      <w:szCs w:val="21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7785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link w:val="SidehovedTegn"/>
    <w:uiPriority w:val="99"/>
    <w:unhideWhenUsed/>
    <w:rsid w:val="009564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64FE"/>
  </w:style>
  <w:style w:type="paragraph" w:styleId="Sidefod">
    <w:name w:val="footer"/>
    <w:basedOn w:val="Normal"/>
    <w:link w:val="SidefodTegn"/>
    <w:uiPriority w:val="99"/>
    <w:unhideWhenUsed/>
    <w:rsid w:val="009564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64FE"/>
  </w:style>
  <w:style w:type="table" w:styleId="Tabel-Gitter">
    <w:name w:val="Table Grid"/>
    <w:basedOn w:val="Tabel-Normal"/>
    <w:rsid w:val="009564FE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9564FE"/>
  </w:style>
  <w:style w:type="character" w:customStyle="1" w:styleId="lrzxr">
    <w:name w:val="lrzxr"/>
    <w:basedOn w:val="Standardskrifttypeiafsnit"/>
    <w:rsid w:val="00A50513"/>
  </w:style>
  <w:style w:type="character" w:styleId="Hyperlink">
    <w:name w:val="Hyperlink"/>
    <w:basedOn w:val="Standardskrifttypeiafsnit"/>
    <w:uiPriority w:val="99"/>
    <w:unhideWhenUsed/>
    <w:rsid w:val="00F23C3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3C3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23C30"/>
    <w:rPr>
      <w:color w:val="954F72" w:themeColor="followedHyperlink"/>
      <w:u w:val="single"/>
    </w:rPr>
  </w:style>
  <w:style w:type="character" w:customStyle="1" w:styleId="Overskrift1Tegn">
    <w:name w:val="Overskrift 1 Tegn"/>
    <w:aliases w:val="Section Heading Tegn,h1 Tegn,A MAJOR/BOLD Tegn,Schedheading Tegn,Heading 1(Report Only) Tegn,h1 chapter heading Tegn,H1 Tegn,Attribute Heading 1 Tegn,Roman 14 B Heading Tegn,Roman 14 B Heading1 Tegn,Roman 14 B Heading2 Tegn,Part Tegn"/>
    <w:basedOn w:val="Standardskrifttypeiafsnit"/>
    <w:link w:val="Overskrift1"/>
    <w:uiPriority w:val="9"/>
    <w:rsid w:val="00EF5798"/>
    <w:rPr>
      <w:rFonts w:asciiTheme="majorHAnsi" w:eastAsiaTheme="majorEastAsia" w:hAnsiTheme="majorHAnsi" w:cstheme="majorBidi"/>
      <w:b/>
      <w:caps/>
      <w:spacing w:val="5"/>
      <w:sz w:val="1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5798"/>
    <w:rPr>
      <w:rFonts w:asciiTheme="majorHAnsi" w:eastAsiaTheme="majorEastAsia" w:hAnsiTheme="majorHAnsi" w:cstheme="majorBidi"/>
      <w:b/>
      <w:color w:val="000000" w:themeColor="text1"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5798"/>
    <w:rPr>
      <w:rFonts w:asciiTheme="majorHAnsi" w:eastAsiaTheme="majorEastAsia" w:hAnsiTheme="majorHAnsi" w:cstheme="majorBidi"/>
      <w:b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5798"/>
    <w:rPr>
      <w:rFonts w:asciiTheme="majorHAnsi" w:eastAsiaTheme="majorEastAsia" w:hAnsiTheme="majorHAnsi" w:cstheme="majorBidi"/>
      <w:b/>
      <w:iCs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F5798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EF5798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EF5798"/>
    <w:rPr>
      <w:rFonts w:asciiTheme="majorHAnsi" w:eastAsiaTheme="majorEastAsia" w:hAnsiTheme="majorHAnsi" w:cstheme="majorBidi"/>
      <w:b/>
      <w:iCs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EF5798"/>
    <w:rPr>
      <w:rFonts w:asciiTheme="majorHAnsi" w:eastAsiaTheme="majorEastAsia" w:hAnsiTheme="majorHAnsi" w:cstheme="majorBidi"/>
      <w:b/>
      <w:sz w:val="1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F5798"/>
    <w:rPr>
      <w:rFonts w:asciiTheme="majorHAnsi" w:eastAsiaTheme="majorEastAsia" w:hAnsiTheme="majorHAnsi" w:cstheme="majorBidi"/>
      <w:b/>
      <w:iCs/>
      <w:sz w:val="18"/>
      <w:szCs w:val="21"/>
    </w:rPr>
  </w:style>
  <w:style w:type="paragraph" w:styleId="Ingenafstand">
    <w:name w:val="No Spacing"/>
    <w:uiPriority w:val="1"/>
    <w:qFormat/>
    <w:rsid w:val="00EF5798"/>
    <w:rPr>
      <w:sz w:val="18"/>
      <w:szCs w:val="22"/>
    </w:rPr>
  </w:style>
  <w:style w:type="paragraph" w:customStyle="1" w:styleId="DSHeadingNoToc2">
    <w:name w:val="DS_Heading_NoToc_2"/>
    <w:basedOn w:val="Overskrift2"/>
    <w:next w:val="Normalindrykning"/>
    <w:qFormat/>
    <w:rsid w:val="00EF5798"/>
    <w:pPr>
      <w:keepNext w:val="0"/>
      <w:spacing w:before="130"/>
      <w:outlineLvl w:val="9"/>
    </w:pPr>
    <w:rPr>
      <w:rFonts w:asciiTheme="minorHAnsi" w:hAnsiTheme="minorHAnsi"/>
      <w:b w:val="0"/>
    </w:rPr>
  </w:style>
  <w:style w:type="table" w:customStyle="1" w:styleId="DSTableClear">
    <w:name w:val="DS_TableClear"/>
    <w:basedOn w:val="Tabel-Normal"/>
    <w:uiPriority w:val="99"/>
    <w:rsid w:val="00EF5798"/>
    <w:rPr>
      <w:sz w:val="22"/>
      <w:szCs w:val="22"/>
    </w:rPr>
    <w:tblPr>
      <w:tblCellMar>
        <w:left w:w="0" w:type="dxa"/>
        <w:right w:w="0" w:type="dxa"/>
      </w:tblCellMar>
    </w:tblPr>
  </w:style>
  <w:style w:type="paragraph" w:customStyle="1" w:styleId="DSBoldCapitals">
    <w:name w:val="DS_BoldCapitals"/>
    <w:basedOn w:val="Normal"/>
    <w:qFormat/>
    <w:rsid w:val="00EF5798"/>
    <w:pPr>
      <w:spacing w:line="260" w:lineRule="atLeast"/>
    </w:pPr>
    <w:rPr>
      <w:rFonts w:eastAsiaTheme="minorHAnsi" w:cstheme="minorBidi"/>
      <w:b/>
      <w:caps/>
      <w:sz w:val="18"/>
      <w:szCs w:val="18"/>
      <w:lang w:eastAsia="en-US"/>
    </w:rPr>
  </w:style>
  <w:style w:type="paragraph" w:customStyle="1" w:styleId="DSDocumentTitle">
    <w:name w:val="DS_DocumentTitle"/>
    <w:basedOn w:val="Normal"/>
    <w:qFormat/>
    <w:rsid w:val="00EF5798"/>
    <w:pPr>
      <w:spacing w:before="70" w:line="0" w:lineRule="atLeast"/>
      <w:contextualSpacing/>
    </w:pPr>
    <w:rPr>
      <w:rFonts w:ascii="Times New Roman" w:eastAsiaTheme="minorHAnsi" w:hAnsi="Times New Roman" w:cstheme="minorBidi"/>
      <w:caps/>
      <w:sz w:val="32"/>
      <w:szCs w:val="18"/>
      <w:lang w:eastAsia="en-US"/>
    </w:rPr>
  </w:style>
  <w:style w:type="paragraph" w:styleId="Normalindrykning">
    <w:name w:val="Normal Indent"/>
    <w:basedOn w:val="Normal"/>
    <w:uiPriority w:val="99"/>
    <w:unhideWhenUsed/>
    <w:rsid w:val="00EF5798"/>
    <w:pPr>
      <w:spacing w:line="260" w:lineRule="atLeast"/>
      <w:ind w:left="851"/>
    </w:pPr>
    <w:rPr>
      <w:rFonts w:eastAsia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707E7B0118A4A8AB3E12F7DCDF44C" ma:contentTypeVersion="11" ma:contentTypeDescription="Opret et nyt dokument." ma:contentTypeScope="" ma:versionID="86dc34a952a052a50ae427293231a1e9">
  <xsd:schema xmlns:xsd="http://www.w3.org/2001/XMLSchema" xmlns:xs="http://www.w3.org/2001/XMLSchema" xmlns:p="http://schemas.microsoft.com/office/2006/metadata/properties" xmlns:ns2="03eb045a-2930-4c85-a468-8b8735742ca8" xmlns:ns3="e23f5ca9-e905-4070-a302-935d24906b3d" targetNamespace="http://schemas.microsoft.com/office/2006/metadata/properties" ma:root="true" ma:fieldsID="70ed142ec111ad80dc4a70cac7aa3323" ns2:_="" ns3:_="">
    <xsd:import namespace="03eb045a-2930-4c85-a468-8b8735742ca8"/>
    <xsd:import namespace="e23f5ca9-e905-4070-a302-935d24906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045a-2930-4c85-a468-8b873574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5ca9-e905-4070-a302-935d24906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6028C-642D-D345-ADBC-4902175CE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2C2F1-2F94-4D5E-8024-CA9DFFAC2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b045a-2930-4c85-a468-8b8735742ca8"/>
    <ds:schemaRef ds:uri="e23f5ca9-e905-4070-a302-935d249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5BC29-763F-435B-927E-DEF0DDC7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B7A05-BE96-41D1-BF3F-D47F540EB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Kjærgaard</dc:creator>
  <cp:keywords/>
  <dc:description/>
  <cp:lastModifiedBy>Thomas Heldbo Wienberg</cp:lastModifiedBy>
  <cp:revision>2</cp:revision>
  <cp:lastPrinted>2022-02-11T11:06:00Z</cp:lastPrinted>
  <dcterms:created xsi:type="dcterms:W3CDTF">2022-11-24T13:40:00Z</dcterms:created>
  <dcterms:modified xsi:type="dcterms:W3CDTF">2022-11-24T13:40:00Z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0x01010017F707E7B0118A4A8AB3E12F7DCDF44C</vt:lpwstr>
  </property>
  <property fmtid="{D5CDD505-2E9C-101B-9397-08002B2CF9AE}" pid="3" name="Order">
    <vt:r8>1000</vt:r8>
  </property>
  <property fmtid="{D5CDD505-2E9C-101B-9397-08002B2CF9AE}" pid="4" name="Dok_DokumentNr">
    <vt:lpwstr>d2022-402292</vt:lpwstr>
  </property>
  <property fmtid="{D5CDD505-2E9C-101B-9397-08002B2CF9AE}" pid="5" name="Dok_DokumentTitel">
    <vt:lpwstr>slet</vt:lpwstr>
  </property>
  <property fmtid="{D5CDD505-2E9C-101B-9397-08002B2CF9AE}" pid="6" name="Dok_AnsvarligFuldeNavn">
    <vt:lpwstr>Thomas Heldbo Wienberg</vt:lpwstr>
  </property>
  <property fmtid="{D5CDD505-2E9C-101B-9397-08002B2CF9AE}" pid="7" name="Dok_AnsvarligInitialer">
    <vt:lpwstr>THW</vt:lpwstr>
  </property>
  <property fmtid="{D5CDD505-2E9C-101B-9397-08002B2CF9AE}" pid="8" name="Dok_AnsvarligEmail">
    <vt:lpwstr>THW@greenpowerdenmark.dk</vt:lpwstr>
  </property>
  <property fmtid="{D5CDD505-2E9C-101B-9397-08002B2CF9AE}" pid="9" name="Dok_AnsvarligTelefon">
    <vt:lpwstr>+45 35 30 04 08</vt:lpwstr>
  </property>
  <property fmtid="{D5CDD505-2E9C-101B-9397-08002B2CF9AE}" pid="10" name="Dok_SekretærFuldeNavn">
    <vt:lpwstr/>
  </property>
  <property fmtid="{D5CDD505-2E9C-101B-9397-08002B2CF9AE}" pid="11" name="Dok_SekretærInitialer">
    <vt:lpwstr/>
  </property>
  <property fmtid="{D5CDD505-2E9C-101B-9397-08002B2CF9AE}" pid="12" name="Dok_SekretærEmail">
    <vt:lpwstr/>
  </property>
  <property fmtid="{D5CDD505-2E9C-101B-9397-08002B2CF9AE}" pid="13" name="Dok_SekretærTelefon">
    <vt:lpwstr/>
  </property>
  <property fmtid="{D5CDD505-2E9C-101B-9397-08002B2CF9AE}" pid="14" name="Dok_AnsvarligUnderskriverFuldeNavn">
    <vt:lpwstr/>
  </property>
  <property fmtid="{D5CDD505-2E9C-101B-9397-08002B2CF9AE}" pid="15" name="Dok_DokumentRetning">
    <vt:lpwstr/>
  </property>
  <property fmtid="{D5CDD505-2E9C-101B-9397-08002B2CF9AE}" pid="16" name="Dok_ModtagerAfsenderFuldeNavn">
    <vt:lpwstr/>
  </property>
  <property fmtid="{D5CDD505-2E9C-101B-9397-08002B2CF9AE}" pid="17" name="Kommentarer">
    <vt:lpwstr>Kommentarer</vt:lpwstr>
  </property>
  <property fmtid="{D5CDD505-2E9C-101B-9397-08002B2CF9AE}" pid="18" name="Dok_ArbejdsGruppe">
    <vt:lpwstr/>
  </property>
  <property fmtid="{D5CDD505-2E9C-101B-9397-08002B2CF9AE}" pid="19" name="Dok_Betaling">
    <vt:lpwstr/>
  </property>
  <property fmtid="{D5CDD505-2E9C-101B-9397-08002B2CF9AE}" pid="20" name="Dok_PrisGruppe">
    <vt:lpwstr/>
  </property>
  <property fmtid="{D5CDD505-2E9C-101B-9397-08002B2CF9AE}" pid="21" name="Dok_AfleveringsPligt">
    <vt:lpwstr/>
  </property>
  <property fmtid="{D5CDD505-2E9C-101B-9397-08002B2CF9AE}" pid="22" name="Dok_RapportNr">
    <vt:lpwstr/>
  </property>
  <property fmtid="{D5CDD505-2E9C-101B-9397-08002B2CF9AE}" pid="23" name="Dok_Rekvirent">
    <vt:lpwstr/>
  </property>
  <property fmtid="{D5CDD505-2E9C-101B-9397-08002B2CF9AE}" pid="24" name="Dok_Udgave">
    <vt:lpwstr/>
  </property>
  <property fmtid="{D5CDD505-2E9C-101B-9397-08002B2CF9AE}" pid="25" name="Dok_Klasse">
    <vt:lpwstr/>
  </property>
  <property fmtid="{D5CDD505-2E9C-101B-9397-08002B2CF9AE}" pid="26" name="Dok_KontraktAftalePart">
    <vt:lpwstr/>
  </property>
  <property fmtid="{D5CDD505-2E9C-101B-9397-08002B2CF9AE}" pid="27" name="Dok_InformationsNr">
    <vt:lpwstr/>
  </property>
  <property fmtid="{D5CDD505-2E9C-101B-9397-08002B2CF9AE}" pid="28" name="Dok_IndholdsType">
    <vt:lpwstr/>
  </property>
  <property fmtid="{D5CDD505-2E9C-101B-9397-08002B2CF9AE}" pid="29" name="Dok_PunktNr">
    <vt:lpwstr/>
  </property>
  <property fmtid="{D5CDD505-2E9C-101B-9397-08002B2CF9AE}" pid="30" name="Dok_DokumentDateret">
    <vt:lpwstr>24-11-2022</vt:lpwstr>
  </property>
  <property fmtid="{D5CDD505-2E9C-101B-9397-08002B2CF9AE}" pid="31" name="Dok_Opfølgningsdato">
    <vt:lpwstr/>
  </property>
  <property fmtid="{D5CDD505-2E9C-101B-9397-08002B2CF9AE}" pid="32" name="Dok_UdløbsDato">
    <vt:lpwstr/>
  </property>
  <property fmtid="{D5CDD505-2E9C-101B-9397-08002B2CF9AE}" pid="33" name="Dok_MedAnsvarligFuldeNavn">
    <vt:lpwstr/>
  </property>
  <property fmtid="{D5CDD505-2E9C-101B-9397-08002B2CF9AE}" pid="34" name="Dok_MedAnsvarligInitialer">
    <vt:lpwstr/>
  </property>
  <property fmtid="{D5CDD505-2E9C-101B-9397-08002B2CF9AE}" pid="35" name="Dok_DokumentVersion">
    <vt:lpwstr>0.2</vt:lpwstr>
  </property>
  <property fmtid="{D5CDD505-2E9C-101B-9397-08002B2CF9AE}" pid="36" name="Sag_SagsNummer">
    <vt:lpwstr>s2022-261</vt:lpwstr>
  </property>
  <property fmtid="{D5CDD505-2E9C-101B-9397-08002B2CF9AE}" pid="37" name="Sag_SagsTitel">
    <vt:lpwstr>Nettilslutningsaftaler for produktion</vt:lpwstr>
  </property>
  <property fmtid="{D5CDD505-2E9C-101B-9397-08002B2CF9AE}" pid="38" name="Sag_SagsAnsvarligFuldeNavn">
    <vt:lpwstr>Louise Jakobsen</vt:lpwstr>
  </property>
  <property fmtid="{D5CDD505-2E9C-101B-9397-08002B2CF9AE}" pid="39" name="Sag_SagsAnsvarligInitialet">
    <vt:lpwstr>LJA</vt:lpwstr>
  </property>
  <property fmtid="{D5CDD505-2E9C-101B-9397-08002B2CF9AE}" pid="40" name="Sag_SagsAnsvarligEmail">
    <vt:lpwstr>lja@greenpowerdenmark.dk</vt:lpwstr>
  </property>
  <property fmtid="{D5CDD505-2E9C-101B-9397-08002B2CF9AE}" pid="41" name="Sag_SagsAnsvarligTelefon">
    <vt:lpwstr>+45 20 90 77 78</vt:lpwstr>
  </property>
  <property fmtid="{D5CDD505-2E9C-101B-9397-08002B2CF9AE}" pid="42" name="Sag_MødeDato">
    <vt:lpwstr/>
  </property>
  <property fmtid="{D5CDD505-2E9C-101B-9397-08002B2CF9AE}" pid="43" name="Sag_DeadlineForSagsfremstilling">
    <vt:lpwstr/>
  </property>
  <property fmtid="{D5CDD505-2E9C-101B-9397-08002B2CF9AE}" pid="44" name="Sag_ArbejdsGruppe">
    <vt:lpwstr/>
  </property>
  <property fmtid="{D5CDD505-2E9C-101B-9397-08002B2CF9AE}" pid="45" name="Sag_BestyrelsesNavn">
    <vt:lpwstr/>
  </property>
  <property fmtid="{D5CDD505-2E9C-101B-9397-08002B2CF9AE}" pid="46" name="Sag_OpstartsDato">
    <vt:lpwstr/>
  </property>
  <property fmtid="{D5CDD505-2E9C-101B-9397-08002B2CF9AE}" pid="47" name="Sag_UdsendelseDato">
    <vt:lpwstr/>
  </property>
  <property fmtid="{D5CDD505-2E9C-101B-9397-08002B2CF9AE}" pid="48" name="Sag_UdvalgsNavn">
    <vt:lpwstr/>
  </property>
  <property fmtid="{D5CDD505-2E9C-101B-9397-08002B2CF9AE}" pid="49" name="Sag_EjendomsNr">
    <vt:lpwstr/>
  </property>
  <property fmtid="{D5CDD505-2E9C-101B-9397-08002B2CF9AE}" pid="50" name="Sag_MatrikelNr">
    <vt:lpwstr/>
  </property>
  <property fmtid="{D5CDD505-2E9C-101B-9397-08002B2CF9AE}" pid="51" name="Sag_ØkonomiNr">
    <vt:lpwstr/>
  </property>
  <property fmtid="{D5CDD505-2E9C-101B-9397-08002B2CF9AE}" pid="52" name="Sag_Finansiering">
    <vt:lpwstr/>
  </property>
  <property fmtid="{D5CDD505-2E9C-101B-9397-08002B2CF9AE}" pid="53" name="Sag_MødeDatoLangFormat">
    <vt:lpwstr/>
  </property>
  <property fmtid="{D5CDD505-2E9C-101B-9397-08002B2CF9AE}" pid="54" name="Comments">
    <vt:lpwstr/>
  </property>
</Properties>
</file>